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024F4" w14:textId="025088E2" w:rsidR="00B02E29" w:rsidRPr="00540673" w:rsidRDefault="00B02E29" w:rsidP="00584626">
      <w:pPr>
        <w:spacing w:line="276" w:lineRule="auto"/>
        <w:ind w:left="-851"/>
        <w:jc w:val="both"/>
        <w:rPr>
          <w:b/>
          <w:sz w:val="32"/>
          <w:u w:val="single"/>
        </w:rPr>
      </w:pPr>
      <w:bookmarkStart w:id="0" w:name="_Ref21586922"/>
      <w:r w:rsidRPr="00F02FD6">
        <w:rPr>
          <w:b/>
          <w:sz w:val="72"/>
          <w:u w:val="single"/>
        </w:rPr>
        <w:t xml:space="preserve">Impulse </w:t>
      </w:r>
      <w:r w:rsidRPr="00540673">
        <w:rPr>
          <w:b/>
          <w:sz w:val="32"/>
          <w:u w:val="single"/>
        </w:rPr>
        <w:t>zu Phase 3 – Schritt 2</w:t>
      </w:r>
      <w:bookmarkEnd w:id="0"/>
      <w:r w:rsidR="00BA361D" w:rsidRPr="00540673">
        <w:rPr>
          <w:b/>
          <w:sz w:val="32"/>
          <w:u w:val="single"/>
        </w:rPr>
        <w:t xml:space="preserve"> und Phase 4 – Schritt 1</w:t>
      </w:r>
    </w:p>
    <w:p w14:paraId="02C2342B" w14:textId="354EFE24" w:rsidR="00BB60FB" w:rsidRDefault="00540673" w:rsidP="00584626">
      <w:pPr>
        <w:spacing w:line="276" w:lineRule="auto"/>
        <w:ind w:left="-851" w:right="-851"/>
        <w:jc w:val="both"/>
        <w:rPr>
          <w:i/>
          <w:color w:val="FF0000"/>
        </w:rPr>
      </w:pPr>
      <w:r w:rsidRPr="00F02FD6">
        <w:rPr>
          <w:i/>
          <w:color w:val="FF0000"/>
        </w:rPr>
        <w:t xml:space="preserve">Hinweis: </w:t>
      </w:r>
      <w:r w:rsidR="00BB60FB" w:rsidRPr="00F02FD6">
        <w:rPr>
          <w:i/>
          <w:color w:val="FF0000"/>
        </w:rPr>
        <w:t xml:space="preserve">Die folgende Auflistung dient </w:t>
      </w:r>
      <w:r w:rsidR="00BB60FB" w:rsidRPr="00F02FD6">
        <w:rPr>
          <w:b/>
          <w:i/>
          <w:color w:val="FF0000"/>
        </w:rPr>
        <w:t>zur Orientierung</w:t>
      </w:r>
      <w:r w:rsidR="00BB60FB" w:rsidRPr="00F02FD6">
        <w:rPr>
          <w:i/>
          <w:color w:val="FF0000"/>
        </w:rPr>
        <w:t>, wie Ziele und Maßnahmen für die vier Entwicklungsbereiche</w:t>
      </w:r>
      <w:r w:rsidRPr="00F02FD6">
        <w:rPr>
          <w:i/>
          <w:color w:val="FF0000"/>
        </w:rPr>
        <w:t xml:space="preserve"> (Personal, Organisation, Technik und Unterricht)</w:t>
      </w:r>
      <w:r w:rsidR="00BB60FB" w:rsidRPr="00F02FD6">
        <w:rPr>
          <w:i/>
          <w:color w:val="FF0000"/>
        </w:rPr>
        <w:t xml:space="preserve"> formuliert werden können. Einige Ziele können mehreren Bereichen zugeordnet werden. </w:t>
      </w:r>
      <w:r w:rsidR="00480E04" w:rsidRPr="00F02FD6">
        <w:rPr>
          <w:i/>
          <w:color w:val="FF0000"/>
        </w:rPr>
        <w:t>Es erscheint nicht sinnvoll, die Ziele und Maßnahmen unreflektiert zu übernehmen, keinesfalls ist es sinnvoll, sie vollständig zu übernehmen.</w:t>
      </w:r>
    </w:p>
    <w:p w14:paraId="327882D2" w14:textId="4DC810FE" w:rsidR="00F02FD6" w:rsidRDefault="00F02FD6" w:rsidP="00584626">
      <w:pPr>
        <w:spacing w:line="276" w:lineRule="auto"/>
        <w:ind w:left="-851" w:right="-851"/>
        <w:jc w:val="both"/>
        <w:rPr>
          <w:i/>
          <w:color w:val="000000" w:themeColor="text1"/>
        </w:rPr>
      </w:pPr>
      <w:r>
        <w:rPr>
          <w:i/>
          <w:color w:val="000000" w:themeColor="text1"/>
        </w:rPr>
        <w:t>Die Beispiele wurden von den medienpädagogischen Beratern und den Schulnetzberatern der Stadt- und Kreismedienzentren zusammengetragen.</w:t>
      </w:r>
    </w:p>
    <w:p w14:paraId="0F40C56E" w14:textId="77777777" w:rsidR="00F02FD6" w:rsidRDefault="00F02FD6" w:rsidP="00584626">
      <w:pPr>
        <w:pBdr>
          <w:bottom w:val="single" w:sz="4" w:space="1" w:color="auto"/>
        </w:pBdr>
        <w:spacing w:line="276" w:lineRule="auto"/>
        <w:ind w:left="-851" w:right="-851"/>
        <w:jc w:val="both"/>
        <w:rPr>
          <w:i/>
          <w:color w:val="000000" w:themeColor="text1"/>
        </w:rPr>
      </w:pPr>
    </w:p>
    <w:p w14:paraId="4782D478" w14:textId="1472E714" w:rsidR="00F02FD6" w:rsidRPr="00F02FD6" w:rsidRDefault="00F02FD6" w:rsidP="00584626">
      <w:pPr>
        <w:spacing w:line="276" w:lineRule="auto"/>
        <w:ind w:left="-851" w:right="-851"/>
        <w:jc w:val="both"/>
        <w:rPr>
          <w:i/>
          <w:color w:val="000000" w:themeColor="text1"/>
        </w:rPr>
      </w:pPr>
      <w:r>
        <w:rPr>
          <w:i/>
          <w:color w:val="000000" w:themeColor="text1"/>
        </w:rPr>
        <w:t xml:space="preserve">Bei Ergänzungsvorschlägen, Kritik und allgemeiner Rückmeldung zu diesem Dokument schreiben Sie bitte Fabian Karg – Referatsleiter Referat 11 am Landesmedienzentrum Baden-Württemberg - </w:t>
      </w:r>
      <w:hyperlink r:id="rId11" w:history="1">
        <w:r w:rsidRPr="00364625">
          <w:rPr>
            <w:rStyle w:val="Hyperlink"/>
            <w:i/>
          </w:rPr>
          <w:t>karg@lmz-bw.de</w:t>
        </w:r>
      </w:hyperlink>
      <w:r>
        <w:rPr>
          <w:i/>
          <w:color w:val="000000" w:themeColor="text1"/>
        </w:rPr>
        <w:t xml:space="preserve"> </w:t>
      </w:r>
    </w:p>
    <w:p w14:paraId="23882393" w14:textId="78A63702" w:rsidR="00540673" w:rsidRDefault="00540673" w:rsidP="00584626">
      <w:pPr>
        <w:spacing w:line="276" w:lineRule="auto"/>
        <w:jc w:val="both"/>
        <w:rPr>
          <w:b/>
          <w:sz w:val="28"/>
        </w:rPr>
      </w:pPr>
    </w:p>
    <w:p w14:paraId="6218CAD4" w14:textId="2DA82C29" w:rsidR="002F5061" w:rsidRPr="00197534" w:rsidRDefault="002F5061" w:rsidP="00584626">
      <w:pPr>
        <w:spacing w:line="276" w:lineRule="auto"/>
        <w:ind w:left="-851"/>
        <w:jc w:val="both"/>
        <w:rPr>
          <w:b/>
          <w:sz w:val="28"/>
        </w:rPr>
      </w:pPr>
      <w:r w:rsidRPr="00197534">
        <w:rPr>
          <w:b/>
          <w:sz w:val="28"/>
        </w:rPr>
        <w:t>Unterrichtsentwicklung</w:t>
      </w:r>
    </w:p>
    <w:tbl>
      <w:tblPr>
        <w:tblStyle w:val="Tabellenraster"/>
        <w:tblW w:w="10774" w:type="dxa"/>
        <w:tblInd w:w="-856" w:type="dxa"/>
        <w:tblLook w:val="04A0" w:firstRow="1" w:lastRow="0" w:firstColumn="1" w:lastColumn="0" w:noHBand="0" w:noVBand="1"/>
      </w:tblPr>
      <w:tblGrid>
        <w:gridCol w:w="4963"/>
        <w:gridCol w:w="5811"/>
      </w:tblGrid>
      <w:tr w:rsidR="002F5061" w14:paraId="62DD8BF2" w14:textId="77777777" w:rsidTr="00130774">
        <w:tc>
          <w:tcPr>
            <w:tcW w:w="4963" w:type="dxa"/>
          </w:tcPr>
          <w:p w14:paraId="6C2A07AC" w14:textId="77777777" w:rsidR="002F5061" w:rsidRDefault="002F5061" w:rsidP="00584626">
            <w:pPr>
              <w:spacing w:line="276" w:lineRule="auto"/>
              <w:jc w:val="both"/>
            </w:pPr>
            <w:r w:rsidRPr="00B02E29">
              <w:rPr>
                <w:b/>
              </w:rPr>
              <w:t>Ziel</w:t>
            </w:r>
          </w:p>
        </w:tc>
        <w:tc>
          <w:tcPr>
            <w:tcW w:w="5811" w:type="dxa"/>
          </w:tcPr>
          <w:p w14:paraId="23753777" w14:textId="77777777" w:rsidR="002F5061" w:rsidRDefault="002F5061" w:rsidP="00584626">
            <w:pPr>
              <w:spacing w:line="276" w:lineRule="auto"/>
              <w:jc w:val="both"/>
            </w:pPr>
            <w:r>
              <w:rPr>
                <w:b/>
              </w:rPr>
              <w:t>Maßnahmen</w:t>
            </w:r>
          </w:p>
        </w:tc>
      </w:tr>
      <w:tr w:rsidR="002F5061" w14:paraId="485FAC70" w14:textId="77777777" w:rsidTr="00130774">
        <w:tc>
          <w:tcPr>
            <w:tcW w:w="4963" w:type="dxa"/>
          </w:tcPr>
          <w:p w14:paraId="684EBA33" w14:textId="77777777" w:rsidR="002F5061" w:rsidRPr="00540673" w:rsidRDefault="002F5061" w:rsidP="00584626">
            <w:pPr>
              <w:spacing w:line="276" w:lineRule="auto"/>
              <w:jc w:val="both"/>
            </w:pPr>
            <w:r w:rsidRPr="00540673">
              <w:t xml:space="preserve">Im täglichen Unterricht werden digitale </w:t>
            </w:r>
            <w:r w:rsidRPr="00F02FD6">
              <w:rPr>
                <w:b/>
              </w:rPr>
              <w:t>Präsentationsmedien</w:t>
            </w:r>
            <w:r w:rsidRPr="00540673">
              <w:t xml:space="preserve"> eingesetzt und damit die Präsentationskompetenz verbessert.</w:t>
            </w:r>
          </w:p>
        </w:tc>
        <w:tc>
          <w:tcPr>
            <w:tcW w:w="5811" w:type="dxa"/>
          </w:tcPr>
          <w:p w14:paraId="2F4A16F6" w14:textId="77777777" w:rsidR="002F5061" w:rsidRPr="00540673" w:rsidRDefault="002F5061" w:rsidP="00584626">
            <w:pPr>
              <w:spacing w:line="276" w:lineRule="auto"/>
              <w:jc w:val="both"/>
            </w:pPr>
            <w:r w:rsidRPr="00540673">
              <w:t xml:space="preserve">Zu Beginn des Schuljahres finden Schulungen zur Präsentationstechnik im Schulhaus statt. Der Sichere Umgang mit Präsentationstools wird ständig geübt. </w:t>
            </w:r>
            <w:proofErr w:type="spellStart"/>
            <w:r w:rsidRPr="00540673">
              <w:t>SuS</w:t>
            </w:r>
            <w:proofErr w:type="spellEnd"/>
            <w:r w:rsidRPr="00540673">
              <w:t xml:space="preserve"> stellen </w:t>
            </w:r>
            <w:proofErr w:type="spellStart"/>
            <w:r w:rsidRPr="00540673">
              <w:t>häuﬁg</w:t>
            </w:r>
            <w:proofErr w:type="spellEnd"/>
            <w:r w:rsidRPr="00540673">
              <w:t xml:space="preserve"> ihre Teilschritte von digitalen Projekten vor und erlangen so eine Routine bei der Präsentation von Inhalten. Die Tablets und Apps unterstützen hier bei der Recherche, der Produktion und Präsentation der Inhalte.</w:t>
            </w:r>
          </w:p>
        </w:tc>
      </w:tr>
      <w:tr w:rsidR="002F5061" w14:paraId="5A6B85E9" w14:textId="77777777" w:rsidTr="00130774">
        <w:tc>
          <w:tcPr>
            <w:tcW w:w="4963" w:type="dxa"/>
          </w:tcPr>
          <w:p w14:paraId="1967330F" w14:textId="77777777" w:rsidR="002F5061" w:rsidRPr="00540673" w:rsidRDefault="002F5061" w:rsidP="00584626">
            <w:pPr>
              <w:spacing w:line="276" w:lineRule="auto"/>
              <w:jc w:val="both"/>
            </w:pPr>
            <w:r w:rsidRPr="00540673">
              <w:t xml:space="preserve">Die Schülerinnen und Schüler entwickeln die </w:t>
            </w:r>
            <w:r w:rsidRPr="00F02FD6">
              <w:rPr>
                <w:b/>
              </w:rPr>
              <w:t>Kompetenz des kritischen Denkens</w:t>
            </w:r>
            <w:r w:rsidRPr="00540673">
              <w:t>.</w:t>
            </w:r>
          </w:p>
        </w:tc>
        <w:tc>
          <w:tcPr>
            <w:tcW w:w="5811" w:type="dxa"/>
          </w:tcPr>
          <w:p w14:paraId="271E8F48" w14:textId="77777777" w:rsidR="002F5061" w:rsidRPr="00540673" w:rsidRDefault="002F5061" w:rsidP="00584626">
            <w:pPr>
              <w:spacing w:line="276" w:lineRule="auto"/>
              <w:jc w:val="both"/>
            </w:pPr>
            <w:r w:rsidRPr="00540673">
              <w:t xml:space="preserve">Nutzung von </w:t>
            </w:r>
            <w:proofErr w:type="spellStart"/>
            <w:r w:rsidRPr="00540673">
              <w:t>FakeNews</w:t>
            </w:r>
            <w:proofErr w:type="spellEnd"/>
            <w:r w:rsidRPr="00540673">
              <w:t xml:space="preserve"> Generatoren, Aufklärung über Gefahren von Datenschutz, Urheberrecht und der Nutzung von </w:t>
            </w:r>
            <w:proofErr w:type="spellStart"/>
            <w:r w:rsidRPr="00540673">
              <w:t>Sozialen</w:t>
            </w:r>
            <w:proofErr w:type="spellEnd"/>
            <w:r w:rsidRPr="00540673">
              <w:t xml:space="preserve"> Netzwerken, in enger Zusammenarbeit mit den SMEPPERN.</w:t>
            </w:r>
          </w:p>
        </w:tc>
      </w:tr>
      <w:tr w:rsidR="002F5061" w14:paraId="2073F85A" w14:textId="77777777" w:rsidTr="00130774">
        <w:tc>
          <w:tcPr>
            <w:tcW w:w="4963" w:type="dxa"/>
          </w:tcPr>
          <w:p w14:paraId="69FD23CB" w14:textId="77777777" w:rsidR="002F5061" w:rsidRPr="00540673" w:rsidRDefault="002F5061" w:rsidP="00584626">
            <w:pPr>
              <w:spacing w:line="276" w:lineRule="auto"/>
              <w:jc w:val="both"/>
            </w:pPr>
            <w:r w:rsidRPr="00540673">
              <w:t xml:space="preserve">Die Schülerinnen und Schüler werden von den </w:t>
            </w:r>
            <w:proofErr w:type="spellStart"/>
            <w:r w:rsidRPr="00540673">
              <w:t>LehrerInnen</w:t>
            </w:r>
            <w:proofErr w:type="spellEnd"/>
            <w:r w:rsidRPr="00540673">
              <w:t xml:space="preserve"> individuell ihres </w:t>
            </w:r>
            <w:r w:rsidRPr="00F02FD6">
              <w:rPr>
                <w:b/>
              </w:rPr>
              <w:t>Leistungsstandes</w:t>
            </w:r>
            <w:r w:rsidRPr="00540673">
              <w:t xml:space="preserve"> </w:t>
            </w:r>
            <w:r w:rsidRPr="00F02FD6">
              <w:rPr>
                <w:b/>
              </w:rPr>
              <w:t>gefördert</w:t>
            </w:r>
            <w:r w:rsidRPr="00540673">
              <w:t>.</w:t>
            </w:r>
          </w:p>
        </w:tc>
        <w:tc>
          <w:tcPr>
            <w:tcW w:w="5811" w:type="dxa"/>
          </w:tcPr>
          <w:p w14:paraId="2F530F05" w14:textId="7850D812" w:rsidR="002F5061" w:rsidRPr="00540673" w:rsidRDefault="002F5061" w:rsidP="00584626">
            <w:pPr>
              <w:spacing w:line="276" w:lineRule="auto"/>
              <w:jc w:val="both"/>
            </w:pPr>
            <w:r w:rsidRPr="00540673">
              <w:t>Durch Aufgaben- und Ergebnisdifferenzierung kann eine Förderung von leistungsschwachen oder -starken Schülern erfolgen,</w:t>
            </w:r>
            <w:r w:rsidR="00584626">
              <w:t xml:space="preserve"> </w:t>
            </w:r>
            <w:r w:rsidRPr="00540673">
              <w:t>z.B. durch differenzierte Aufgabenstellungen, z.B. mit QR-Codes auf Arbeitsblättern.</w:t>
            </w:r>
          </w:p>
        </w:tc>
      </w:tr>
      <w:tr w:rsidR="002F5061" w14:paraId="7303D3EE" w14:textId="77777777" w:rsidTr="00130774">
        <w:tc>
          <w:tcPr>
            <w:tcW w:w="4963" w:type="dxa"/>
          </w:tcPr>
          <w:p w14:paraId="1C0B5DC1" w14:textId="77777777" w:rsidR="002F5061" w:rsidRPr="00540673" w:rsidRDefault="002F5061" w:rsidP="00584626">
            <w:pPr>
              <w:spacing w:line="276" w:lineRule="auto"/>
              <w:jc w:val="both"/>
            </w:pPr>
            <w:r w:rsidRPr="00540673">
              <w:t xml:space="preserve">Die Schülerinnen und Schüler setzen sich mit </w:t>
            </w:r>
            <w:r w:rsidRPr="00F02FD6">
              <w:rPr>
                <w:b/>
              </w:rPr>
              <w:t>Arbeitsbedingungen der Zukunft</w:t>
            </w:r>
            <w:r w:rsidRPr="00540673">
              <w:t xml:space="preserve"> auseinander und wenden sie selbst an.</w:t>
            </w:r>
          </w:p>
        </w:tc>
        <w:tc>
          <w:tcPr>
            <w:tcW w:w="5811" w:type="dxa"/>
          </w:tcPr>
          <w:p w14:paraId="7B186C68" w14:textId="77777777" w:rsidR="002F5061" w:rsidRPr="00540673" w:rsidRDefault="002F5061" w:rsidP="00584626">
            <w:pPr>
              <w:spacing w:line="276" w:lineRule="auto"/>
              <w:jc w:val="both"/>
            </w:pPr>
            <w:r w:rsidRPr="00540673">
              <w:t>3D Druck soll fächerübergreifend in den Naturwissenschaften, Kunst aber auch Mathematik eingesetzt werden.</w:t>
            </w:r>
          </w:p>
        </w:tc>
      </w:tr>
      <w:tr w:rsidR="002F5061" w14:paraId="380AA4A2" w14:textId="77777777" w:rsidTr="00130774">
        <w:tc>
          <w:tcPr>
            <w:tcW w:w="4963" w:type="dxa"/>
          </w:tcPr>
          <w:p w14:paraId="74E63EEE" w14:textId="77777777" w:rsidR="002F5061" w:rsidRPr="00540673" w:rsidRDefault="002F5061" w:rsidP="00584626">
            <w:pPr>
              <w:spacing w:line="276" w:lineRule="auto"/>
              <w:jc w:val="both"/>
            </w:pPr>
            <w:r w:rsidRPr="00540673">
              <w:t xml:space="preserve">Digitale Medien werden genutzt, um </w:t>
            </w:r>
            <w:r w:rsidRPr="00F02FD6">
              <w:rPr>
                <w:b/>
              </w:rPr>
              <w:t>binnendifferenziert</w:t>
            </w:r>
            <w:r w:rsidRPr="00540673">
              <w:t xml:space="preserve"> und </w:t>
            </w:r>
            <w:r w:rsidRPr="00F02FD6">
              <w:rPr>
                <w:b/>
              </w:rPr>
              <w:t>individualisiert</w:t>
            </w:r>
            <w:r w:rsidRPr="00540673">
              <w:t xml:space="preserve"> zu arbeiten.</w:t>
            </w:r>
          </w:p>
        </w:tc>
        <w:tc>
          <w:tcPr>
            <w:tcW w:w="5811" w:type="dxa"/>
          </w:tcPr>
          <w:p w14:paraId="400918D6" w14:textId="77777777" w:rsidR="002F5061" w:rsidRPr="00540673" w:rsidRDefault="002F5061" w:rsidP="00584626">
            <w:pPr>
              <w:spacing w:line="276" w:lineRule="auto"/>
              <w:jc w:val="both"/>
            </w:pPr>
            <w:r w:rsidRPr="00540673">
              <w:t>Die Schule beschafft die Software Anton zum binnendifferenzierten Üben im Fach Mathematik / Deutsch.</w:t>
            </w:r>
          </w:p>
        </w:tc>
      </w:tr>
      <w:tr w:rsidR="002F5061" w14:paraId="3C2A3859" w14:textId="77777777" w:rsidTr="00130774">
        <w:tc>
          <w:tcPr>
            <w:tcW w:w="4963" w:type="dxa"/>
          </w:tcPr>
          <w:p w14:paraId="0B5A9AFE" w14:textId="77777777" w:rsidR="002F5061" w:rsidRPr="00540673" w:rsidRDefault="002F5061" w:rsidP="00584626">
            <w:pPr>
              <w:spacing w:line="276" w:lineRule="auto"/>
              <w:jc w:val="both"/>
            </w:pPr>
            <w:r w:rsidRPr="00540673">
              <w:t xml:space="preserve">Die </w:t>
            </w:r>
            <w:proofErr w:type="spellStart"/>
            <w:r w:rsidRPr="00540673">
              <w:t>SchülerInnen</w:t>
            </w:r>
            <w:proofErr w:type="spellEnd"/>
            <w:r w:rsidRPr="00540673">
              <w:t xml:space="preserve"> nutzen digitale Medien in mehreren Fächern, um </w:t>
            </w:r>
            <w:r w:rsidRPr="00F02FD6">
              <w:rPr>
                <w:b/>
              </w:rPr>
              <w:t>kreativ und produktiv</w:t>
            </w:r>
            <w:r w:rsidRPr="00540673">
              <w:t xml:space="preserve"> zu arbeiten.</w:t>
            </w:r>
          </w:p>
        </w:tc>
        <w:tc>
          <w:tcPr>
            <w:tcW w:w="5811" w:type="dxa"/>
          </w:tcPr>
          <w:p w14:paraId="2DF8C855" w14:textId="6C38B3E6" w:rsidR="002F5061" w:rsidRPr="00540673" w:rsidRDefault="002F5061" w:rsidP="00584626">
            <w:pPr>
              <w:spacing w:line="276" w:lineRule="auto"/>
              <w:jc w:val="both"/>
            </w:pPr>
            <w:r w:rsidRPr="00540673">
              <w:t xml:space="preserve">Apps zur Erstellung von einfachen Videos, </w:t>
            </w:r>
            <w:proofErr w:type="spellStart"/>
            <w:r w:rsidRPr="00540673">
              <w:t>Stop</w:t>
            </w:r>
            <w:proofErr w:type="spellEnd"/>
            <w:r w:rsidR="00584626">
              <w:t>-M</w:t>
            </w:r>
            <w:r w:rsidRPr="00540673">
              <w:t xml:space="preserve">otion-Filmen und </w:t>
            </w:r>
            <w:proofErr w:type="spellStart"/>
            <w:r w:rsidRPr="00540673">
              <w:t>Greenscreen</w:t>
            </w:r>
            <w:proofErr w:type="spellEnd"/>
            <w:r w:rsidRPr="00540673">
              <w:t>-Produktionen werden auf den Geräten installiert und in jeder Klasse mindestens einmal pro Halbjahr genutzt. Absprachen dazu trifft die Klassenkonferenz.</w:t>
            </w:r>
          </w:p>
        </w:tc>
      </w:tr>
      <w:tr w:rsidR="002F5061" w14:paraId="3D5193F6" w14:textId="77777777" w:rsidTr="00130774">
        <w:tc>
          <w:tcPr>
            <w:tcW w:w="4963" w:type="dxa"/>
          </w:tcPr>
          <w:p w14:paraId="3AC09582" w14:textId="77777777" w:rsidR="002F5061" w:rsidRPr="00540673" w:rsidRDefault="002F5061" w:rsidP="00584626">
            <w:pPr>
              <w:spacing w:line="276" w:lineRule="auto"/>
              <w:jc w:val="both"/>
            </w:pPr>
            <w:r w:rsidRPr="00540673">
              <w:lastRenderedPageBreak/>
              <w:t xml:space="preserve">Die Schülerinnen nutzen digitale Medien um </w:t>
            </w:r>
            <w:r w:rsidRPr="00F02FD6">
              <w:rPr>
                <w:b/>
              </w:rPr>
              <w:t>ortsunabhängig</w:t>
            </w:r>
            <w:r w:rsidRPr="00540673">
              <w:t xml:space="preserve"> mit außerschulischen Partnern zu kommunizieren und zu lernen.</w:t>
            </w:r>
          </w:p>
        </w:tc>
        <w:tc>
          <w:tcPr>
            <w:tcW w:w="5811" w:type="dxa"/>
          </w:tcPr>
          <w:p w14:paraId="09347AA4" w14:textId="77777777" w:rsidR="002F5061" w:rsidRPr="00540673" w:rsidRDefault="002F5061" w:rsidP="00584626">
            <w:pPr>
              <w:spacing w:line="276" w:lineRule="auto"/>
              <w:jc w:val="both"/>
            </w:pPr>
            <w:r w:rsidRPr="00540673">
              <w:t xml:space="preserve">Jede Klasse führt pro Schuljahr ein Projekt mit außerschulischen Partnern durch, bei dem via Mail, </w:t>
            </w:r>
            <w:proofErr w:type="spellStart"/>
            <w:r w:rsidRPr="00540673">
              <w:t>Messengerdiensten</w:t>
            </w:r>
            <w:proofErr w:type="spellEnd"/>
            <w:r w:rsidRPr="00540673">
              <w:t xml:space="preserve"> oder Videodiensten kommuniziert wird.</w:t>
            </w:r>
          </w:p>
        </w:tc>
      </w:tr>
      <w:tr w:rsidR="002F5061" w14:paraId="369CDB29" w14:textId="77777777" w:rsidTr="00130774">
        <w:tc>
          <w:tcPr>
            <w:tcW w:w="4963" w:type="dxa"/>
          </w:tcPr>
          <w:p w14:paraId="7DA6088C" w14:textId="77777777" w:rsidR="002F5061" w:rsidRPr="00540673" w:rsidRDefault="002F5061" w:rsidP="00584626">
            <w:pPr>
              <w:spacing w:line="276" w:lineRule="auto"/>
              <w:jc w:val="both"/>
            </w:pPr>
            <w:r w:rsidRPr="00540673">
              <w:t xml:space="preserve">Die Schülerinnen und Schüler können mit Abschluss ihrer beruflichen Schulzeit in </w:t>
            </w:r>
            <w:r w:rsidRPr="00F02FD6">
              <w:rPr>
                <w:b/>
              </w:rPr>
              <w:t>interkulturellen</w:t>
            </w:r>
            <w:r w:rsidRPr="00540673">
              <w:t xml:space="preserve"> Teams </w:t>
            </w:r>
            <w:r w:rsidRPr="00F02FD6">
              <w:rPr>
                <w:b/>
              </w:rPr>
              <w:t>projektorientiert</w:t>
            </w:r>
            <w:r w:rsidRPr="00540673">
              <w:t xml:space="preserve"> und mit Anwendung digitaler Arbeitsmittel zur Lösung von </w:t>
            </w:r>
            <w:r w:rsidRPr="00F02FD6">
              <w:rPr>
                <w:b/>
              </w:rPr>
              <w:t>komplexen</w:t>
            </w:r>
            <w:r w:rsidRPr="00540673">
              <w:t xml:space="preserve"> </w:t>
            </w:r>
            <w:r w:rsidRPr="00F02FD6">
              <w:rPr>
                <w:b/>
              </w:rPr>
              <w:t>Sachverhalten</w:t>
            </w:r>
            <w:r w:rsidRPr="00540673">
              <w:t xml:space="preserve"> zusammenarbeiten.</w:t>
            </w:r>
          </w:p>
        </w:tc>
        <w:tc>
          <w:tcPr>
            <w:tcW w:w="5811" w:type="dxa"/>
          </w:tcPr>
          <w:p w14:paraId="65A2EE4D" w14:textId="77777777" w:rsidR="002F5061" w:rsidRPr="00540673" w:rsidRDefault="002F5061" w:rsidP="00584626">
            <w:pPr>
              <w:spacing w:line="276" w:lineRule="auto"/>
              <w:jc w:val="both"/>
            </w:pPr>
            <w:r w:rsidRPr="00540673">
              <w:t xml:space="preserve">Jede Klasse führt pro Schuljahr ein Projekt durch, bei dem via Mail, </w:t>
            </w:r>
            <w:proofErr w:type="spellStart"/>
            <w:r w:rsidRPr="00540673">
              <w:t>Messengerdiensten</w:t>
            </w:r>
            <w:proofErr w:type="spellEnd"/>
            <w:r w:rsidRPr="00540673">
              <w:t xml:space="preserve"> oder Videodiensten kommuniziert wird. Die Kommunikationsprozesse werden dabei reflektiert. Zudem wird eine Schulpartnerschaft mit Hilfe von </w:t>
            </w:r>
            <w:proofErr w:type="spellStart"/>
            <w:r w:rsidRPr="00540673">
              <w:t>eTwinning</w:t>
            </w:r>
            <w:proofErr w:type="spellEnd"/>
            <w:r w:rsidRPr="00540673">
              <w:t xml:space="preserve"> Lösungen ausgebaut.</w:t>
            </w:r>
          </w:p>
        </w:tc>
      </w:tr>
      <w:tr w:rsidR="002F5061" w:rsidRPr="00197534" w14:paraId="7335A04F" w14:textId="77777777" w:rsidTr="00130774">
        <w:trPr>
          <w:trHeight w:val="566"/>
        </w:trPr>
        <w:tc>
          <w:tcPr>
            <w:tcW w:w="4963" w:type="dxa"/>
            <w:shd w:val="clear" w:color="auto" w:fill="auto"/>
            <w:hideMark/>
          </w:tcPr>
          <w:p w14:paraId="3A908FE8" w14:textId="77777777" w:rsidR="002F5061" w:rsidRPr="00197534" w:rsidRDefault="002F5061" w:rsidP="00584626">
            <w:pPr>
              <w:spacing w:line="276" w:lineRule="auto"/>
              <w:jc w:val="both"/>
              <w:rPr>
                <w:rFonts w:ascii="Calibri" w:eastAsia="Times New Roman" w:hAnsi="Calibri" w:cs="Calibri"/>
                <w:color w:val="000000"/>
                <w:lang w:eastAsia="de-DE"/>
              </w:rPr>
            </w:pPr>
            <w:r w:rsidRPr="00197534">
              <w:rPr>
                <w:rFonts w:ascii="Calibri" w:eastAsia="Times New Roman" w:hAnsi="Calibri" w:cs="Calibri"/>
                <w:color w:val="000000"/>
                <w:lang w:eastAsia="de-DE"/>
              </w:rPr>
              <w:t xml:space="preserve">Die Schule beschreibt für die </w:t>
            </w:r>
            <w:r w:rsidRPr="00F02FD6">
              <w:rPr>
                <w:rFonts w:ascii="Calibri" w:eastAsia="Times New Roman" w:hAnsi="Calibri" w:cs="Calibri"/>
                <w:b/>
                <w:color w:val="000000"/>
                <w:lang w:eastAsia="de-DE"/>
              </w:rPr>
              <w:t>Kernfächer</w:t>
            </w:r>
            <w:r w:rsidRPr="00197534">
              <w:rPr>
                <w:rFonts w:ascii="Calibri" w:eastAsia="Times New Roman" w:hAnsi="Calibri" w:cs="Calibri"/>
                <w:color w:val="000000"/>
                <w:lang w:eastAsia="de-DE"/>
              </w:rPr>
              <w:t xml:space="preserve"> konkrete Möglichkeiten zur Umsetzung der </w:t>
            </w:r>
            <w:r w:rsidRPr="00F02FD6">
              <w:rPr>
                <w:rFonts w:ascii="Calibri" w:eastAsia="Times New Roman" w:hAnsi="Calibri" w:cs="Calibri"/>
                <w:b/>
                <w:color w:val="000000"/>
                <w:lang w:eastAsia="de-DE"/>
              </w:rPr>
              <w:t>Leitperspektive</w:t>
            </w:r>
            <w:r w:rsidRPr="00197534">
              <w:rPr>
                <w:rFonts w:ascii="Calibri" w:eastAsia="Times New Roman" w:hAnsi="Calibri" w:cs="Calibri"/>
                <w:color w:val="000000"/>
                <w:lang w:eastAsia="de-DE"/>
              </w:rPr>
              <w:t xml:space="preserve"> Medienbildung im Unterricht</w:t>
            </w:r>
            <w:r>
              <w:rPr>
                <w:rFonts w:ascii="Calibri" w:eastAsia="Times New Roman" w:hAnsi="Calibri" w:cs="Calibri"/>
                <w:color w:val="000000"/>
                <w:lang w:eastAsia="de-DE"/>
              </w:rPr>
              <w:t>.</w:t>
            </w:r>
          </w:p>
        </w:tc>
        <w:tc>
          <w:tcPr>
            <w:tcW w:w="5811" w:type="dxa"/>
            <w:shd w:val="clear" w:color="auto" w:fill="auto"/>
            <w:hideMark/>
          </w:tcPr>
          <w:p w14:paraId="56ED9338" w14:textId="77777777" w:rsidR="002F5061" w:rsidRPr="00197534" w:rsidRDefault="002F5061" w:rsidP="00584626">
            <w:pPr>
              <w:spacing w:line="276" w:lineRule="auto"/>
              <w:jc w:val="both"/>
              <w:rPr>
                <w:rFonts w:ascii="Calibri" w:eastAsia="Times New Roman" w:hAnsi="Calibri" w:cs="Calibri"/>
                <w:color w:val="000000"/>
                <w:lang w:eastAsia="de-DE"/>
              </w:rPr>
            </w:pPr>
            <w:r w:rsidRPr="00197534">
              <w:rPr>
                <w:rFonts w:ascii="Calibri" w:eastAsia="Times New Roman" w:hAnsi="Calibri" w:cs="Calibri"/>
                <w:color w:val="000000"/>
                <w:lang w:eastAsia="de-DE"/>
              </w:rPr>
              <w:t>Die Schule entwirft ein Mediencurriculum in den Kernfächern</w:t>
            </w:r>
            <w:r>
              <w:rPr>
                <w:rFonts w:ascii="Calibri" w:eastAsia="Times New Roman" w:hAnsi="Calibri" w:cs="Calibri"/>
                <w:color w:val="000000"/>
                <w:lang w:eastAsia="de-DE"/>
              </w:rPr>
              <w:t>, das die KMK-Kompetenzbereiche abdeckt und gleichzeitig spezielle Beispiele für jede Lehreplaneinheit benannt. Dies wird von einem Team im ersten Jahr erprobt und ggf. nachgesteuert</w:t>
            </w:r>
          </w:p>
        </w:tc>
      </w:tr>
      <w:tr w:rsidR="002F5061" w:rsidRPr="00197534" w14:paraId="02A5B04A" w14:textId="77777777" w:rsidTr="00130774">
        <w:trPr>
          <w:trHeight w:val="570"/>
        </w:trPr>
        <w:tc>
          <w:tcPr>
            <w:tcW w:w="4963" w:type="dxa"/>
            <w:shd w:val="clear" w:color="auto" w:fill="auto"/>
            <w:hideMark/>
          </w:tcPr>
          <w:p w14:paraId="6B53F626" w14:textId="77777777" w:rsidR="002F5061" w:rsidRPr="00197534" w:rsidRDefault="002F5061" w:rsidP="00584626">
            <w:pPr>
              <w:spacing w:line="276" w:lineRule="auto"/>
              <w:jc w:val="both"/>
              <w:rPr>
                <w:rFonts w:ascii="Calibri" w:eastAsia="Times New Roman" w:hAnsi="Calibri" w:cs="Calibri"/>
                <w:color w:val="000000"/>
                <w:lang w:eastAsia="de-DE"/>
              </w:rPr>
            </w:pPr>
            <w:r w:rsidRPr="00197534">
              <w:rPr>
                <w:rFonts w:ascii="Calibri" w:eastAsia="Times New Roman" w:hAnsi="Calibri" w:cs="Calibri"/>
                <w:color w:val="000000"/>
                <w:lang w:eastAsia="de-DE"/>
              </w:rPr>
              <w:t>Die Schule baut im kommenden Schuljahr den Schwerpunkt IMP aus.</w:t>
            </w:r>
          </w:p>
        </w:tc>
        <w:tc>
          <w:tcPr>
            <w:tcW w:w="5811" w:type="dxa"/>
            <w:shd w:val="clear" w:color="auto" w:fill="auto"/>
            <w:hideMark/>
          </w:tcPr>
          <w:p w14:paraId="0F170EF6" w14:textId="77777777" w:rsidR="002F5061" w:rsidRPr="00197534" w:rsidRDefault="002F5061" w:rsidP="00584626">
            <w:pPr>
              <w:spacing w:line="276" w:lineRule="auto"/>
              <w:jc w:val="both"/>
              <w:rPr>
                <w:rFonts w:ascii="Calibri" w:eastAsia="Times New Roman" w:hAnsi="Calibri" w:cs="Calibri"/>
                <w:color w:val="000000"/>
                <w:lang w:eastAsia="de-DE"/>
              </w:rPr>
            </w:pPr>
            <w:r w:rsidRPr="00197534">
              <w:rPr>
                <w:rFonts w:ascii="Calibri" w:eastAsia="Times New Roman" w:hAnsi="Calibri" w:cs="Calibri"/>
                <w:color w:val="000000"/>
                <w:lang w:eastAsia="de-DE"/>
              </w:rPr>
              <w:t>Die Schüler der 8. Klasse setzen im kommenden Schuljahr im Rahmen des Schwerpunktes IMP ein Projekt zum Thema Rob</w:t>
            </w:r>
            <w:r>
              <w:rPr>
                <w:rFonts w:ascii="Calibri" w:eastAsia="Times New Roman" w:hAnsi="Calibri" w:cs="Calibri"/>
                <w:color w:val="000000"/>
                <w:lang w:eastAsia="de-DE"/>
              </w:rPr>
              <w:t>o</w:t>
            </w:r>
            <w:r w:rsidRPr="00197534">
              <w:rPr>
                <w:rFonts w:ascii="Calibri" w:eastAsia="Times New Roman" w:hAnsi="Calibri" w:cs="Calibri"/>
                <w:color w:val="000000"/>
                <w:lang w:eastAsia="de-DE"/>
              </w:rPr>
              <w:t xml:space="preserve">tik </w:t>
            </w:r>
            <w:r>
              <w:rPr>
                <w:rFonts w:ascii="Calibri" w:eastAsia="Times New Roman" w:hAnsi="Calibri" w:cs="Calibri"/>
                <w:color w:val="000000"/>
                <w:lang w:eastAsia="de-DE"/>
              </w:rPr>
              <w:t xml:space="preserve">mit Hilfe der </w:t>
            </w:r>
            <w:proofErr w:type="spellStart"/>
            <w:r>
              <w:rPr>
                <w:rFonts w:ascii="Calibri" w:eastAsia="Times New Roman" w:hAnsi="Calibri" w:cs="Calibri"/>
                <w:color w:val="000000"/>
                <w:lang w:eastAsia="de-DE"/>
              </w:rPr>
              <w:t>mBots</w:t>
            </w:r>
            <w:proofErr w:type="spellEnd"/>
            <w:r>
              <w:rPr>
                <w:rFonts w:ascii="Calibri" w:eastAsia="Times New Roman" w:hAnsi="Calibri" w:cs="Calibri"/>
                <w:color w:val="000000"/>
                <w:lang w:eastAsia="de-DE"/>
              </w:rPr>
              <w:t xml:space="preserve"> </w:t>
            </w:r>
            <w:r w:rsidRPr="00197534">
              <w:rPr>
                <w:rFonts w:ascii="Calibri" w:eastAsia="Times New Roman" w:hAnsi="Calibri" w:cs="Calibri"/>
                <w:color w:val="000000"/>
                <w:lang w:eastAsia="de-DE"/>
              </w:rPr>
              <w:t>um.</w:t>
            </w:r>
          </w:p>
        </w:tc>
      </w:tr>
      <w:tr w:rsidR="002F5061" w:rsidRPr="00197534" w14:paraId="5C82950C" w14:textId="77777777" w:rsidTr="00130774">
        <w:trPr>
          <w:trHeight w:val="570"/>
        </w:trPr>
        <w:tc>
          <w:tcPr>
            <w:tcW w:w="4963" w:type="dxa"/>
            <w:shd w:val="clear" w:color="auto" w:fill="auto"/>
          </w:tcPr>
          <w:p w14:paraId="2968ADD9" w14:textId="77777777" w:rsidR="002F5061" w:rsidRPr="00197534"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Die Fachschaften arbeiten kontinuierlich an ihren </w:t>
            </w:r>
            <w:r w:rsidRPr="00F02FD6">
              <w:rPr>
                <w:rFonts w:ascii="Calibri" w:eastAsia="Times New Roman" w:hAnsi="Calibri" w:cs="Calibri"/>
                <w:b/>
                <w:color w:val="000000"/>
                <w:lang w:eastAsia="de-DE"/>
              </w:rPr>
              <w:t>Medienthemenplänen</w:t>
            </w:r>
            <w:r>
              <w:rPr>
                <w:rFonts w:ascii="Calibri" w:eastAsia="Times New Roman" w:hAnsi="Calibri" w:cs="Calibri"/>
                <w:color w:val="000000"/>
                <w:lang w:eastAsia="de-DE"/>
              </w:rPr>
              <w:t xml:space="preserve">. </w:t>
            </w:r>
          </w:p>
        </w:tc>
        <w:tc>
          <w:tcPr>
            <w:tcW w:w="5811" w:type="dxa"/>
            <w:shd w:val="clear" w:color="auto" w:fill="auto"/>
          </w:tcPr>
          <w:p w14:paraId="2FE222B2" w14:textId="77777777" w:rsidR="002F5061"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Kurzfristig (1 Jahr): Die Fachschaften einigen sich auf jeweils 1-2 Pilotprojekte, die von Freiwilligen durchgeführt und multipliziert werden. In einer gemeinsamen Evaluation wird der Einsatz ggf. modifiziert im verbindlichen Medienthemenplan festgehalten und so verstetigt. </w:t>
            </w:r>
          </w:p>
          <w:p w14:paraId="1159CE60" w14:textId="77777777" w:rsidR="002F5061"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Mittelfristig (3 Jahre): Die Medienthemenpläne werden jährlich durch mindestens 1-2 neue Pilotprojekte ergänzt. Vorgehen wie bei den kurzfristigen Maßnahmen. Die vorherigen Medienthemenpläne werden erneut evaluiert und ggf. angepasst.</w:t>
            </w:r>
          </w:p>
          <w:p w14:paraId="3D4EE5D5" w14:textId="77777777" w:rsidR="002F5061"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Langfristig (5 Jahre): Die Medienthemenpläne werden stetig erweitert und evaluiert. </w:t>
            </w:r>
          </w:p>
          <w:p w14:paraId="16D3F59F" w14:textId="77777777" w:rsidR="002F5061" w:rsidRPr="00197534"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Mögliche technische Anschaffungen werden jeweils dann beantragt, wenn sie zur Erfüllung der pädagogischen Ziele notwendig sind.</w:t>
            </w:r>
          </w:p>
        </w:tc>
      </w:tr>
      <w:tr w:rsidR="002F5061" w:rsidRPr="00197534" w14:paraId="796A1F76" w14:textId="77777777" w:rsidTr="00130774">
        <w:trPr>
          <w:trHeight w:val="570"/>
        </w:trPr>
        <w:tc>
          <w:tcPr>
            <w:tcW w:w="4963" w:type="dxa"/>
            <w:shd w:val="clear" w:color="auto" w:fill="auto"/>
          </w:tcPr>
          <w:p w14:paraId="189CE7B8" w14:textId="77777777" w:rsidR="002F5061" w:rsidRPr="00197534"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Die Einsatzmöglichkeiten von </w:t>
            </w:r>
            <w:r w:rsidRPr="00F02FD6">
              <w:rPr>
                <w:rFonts w:ascii="Calibri" w:eastAsia="Times New Roman" w:hAnsi="Calibri" w:cs="Calibri"/>
                <w:b/>
                <w:color w:val="000000"/>
                <w:lang w:eastAsia="de-DE"/>
              </w:rPr>
              <w:t>innovativen</w:t>
            </w:r>
            <w:r>
              <w:rPr>
                <w:rFonts w:ascii="Calibri" w:eastAsia="Times New Roman" w:hAnsi="Calibri" w:cs="Calibri"/>
                <w:color w:val="000000"/>
                <w:lang w:eastAsia="de-DE"/>
              </w:rPr>
              <w:t xml:space="preserve"> </w:t>
            </w:r>
            <w:r w:rsidRPr="00F02FD6">
              <w:rPr>
                <w:rFonts w:ascii="Calibri" w:eastAsia="Times New Roman" w:hAnsi="Calibri" w:cs="Calibri"/>
                <w:b/>
                <w:color w:val="000000"/>
                <w:lang w:eastAsia="de-DE"/>
              </w:rPr>
              <w:t>Technologien</w:t>
            </w:r>
            <w:r>
              <w:rPr>
                <w:rFonts w:ascii="Calibri" w:eastAsia="Times New Roman" w:hAnsi="Calibri" w:cs="Calibri"/>
                <w:color w:val="000000"/>
                <w:lang w:eastAsia="de-DE"/>
              </w:rPr>
              <w:t xml:space="preserve"> werden erprobt.</w:t>
            </w:r>
          </w:p>
        </w:tc>
        <w:tc>
          <w:tcPr>
            <w:tcW w:w="5811" w:type="dxa"/>
            <w:shd w:val="clear" w:color="auto" w:fill="auto"/>
          </w:tcPr>
          <w:p w14:paraId="56724912" w14:textId="77777777" w:rsidR="002F5061" w:rsidRPr="00197534"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Ein Team von drei Lehrkräften beschäftigt sich mit dem Einsatz von Virtual Reality und Mixed Reality in den Fremdsprachen und den Naturwissenschaften, um im Rahmen von drei Pilotprojekten zu erproben, wie Schüler aktiv gestalterisch, kreativ und interaktiv mit und in virtuellen Welten lernen können. Zum Einsatz kommen VR-Brillen und 360°-Kameras (Kofferlösung) und der </w:t>
            </w:r>
            <w:proofErr w:type="spellStart"/>
            <w:r>
              <w:rPr>
                <w:rFonts w:ascii="Calibri" w:eastAsia="Times New Roman" w:hAnsi="Calibri" w:cs="Calibri"/>
                <w:color w:val="000000"/>
                <w:lang w:eastAsia="de-DE"/>
              </w:rPr>
              <w:t>Merge</w:t>
            </w:r>
            <w:proofErr w:type="spellEnd"/>
            <w:r>
              <w:rPr>
                <w:rFonts w:ascii="Calibri" w:eastAsia="Times New Roman" w:hAnsi="Calibri" w:cs="Calibri"/>
                <w:color w:val="000000"/>
                <w:lang w:eastAsia="de-DE"/>
              </w:rPr>
              <w:t xml:space="preserve"> Cube.</w:t>
            </w:r>
          </w:p>
        </w:tc>
      </w:tr>
    </w:tbl>
    <w:p w14:paraId="33B06559" w14:textId="77777777" w:rsidR="002F5061" w:rsidRPr="00B02E29" w:rsidRDefault="002F5061" w:rsidP="00584626">
      <w:pPr>
        <w:spacing w:line="276" w:lineRule="auto"/>
        <w:jc w:val="both"/>
      </w:pPr>
    </w:p>
    <w:p w14:paraId="7ED201CA" w14:textId="77777777" w:rsidR="00F02FD6" w:rsidRDefault="00F02FD6" w:rsidP="00584626">
      <w:pPr>
        <w:spacing w:line="276" w:lineRule="auto"/>
        <w:jc w:val="both"/>
        <w:rPr>
          <w:b/>
          <w:sz w:val="28"/>
        </w:rPr>
      </w:pPr>
      <w:r>
        <w:rPr>
          <w:b/>
          <w:sz w:val="28"/>
        </w:rPr>
        <w:br w:type="page"/>
      </w:r>
    </w:p>
    <w:p w14:paraId="5A202EC8" w14:textId="17179594" w:rsidR="002F5061" w:rsidRDefault="002F5061" w:rsidP="00584626">
      <w:pPr>
        <w:spacing w:line="276" w:lineRule="auto"/>
        <w:ind w:left="-851"/>
        <w:jc w:val="both"/>
        <w:rPr>
          <w:b/>
          <w:sz w:val="28"/>
        </w:rPr>
      </w:pPr>
      <w:r>
        <w:rPr>
          <w:b/>
          <w:sz w:val="28"/>
        </w:rPr>
        <w:lastRenderedPageBreak/>
        <w:t>Technische Entwicklung (abgestimmt auf Unterrichtsentwicklung)</w:t>
      </w:r>
    </w:p>
    <w:tbl>
      <w:tblPr>
        <w:tblStyle w:val="Tabellenraster"/>
        <w:tblW w:w="10774" w:type="dxa"/>
        <w:tblInd w:w="-856" w:type="dxa"/>
        <w:tblLook w:val="04A0" w:firstRow="1" w:lastRow="0" w:firstColumn="1" w:lastColumn="0" w:noHBand="0" w:noVBand="1"/>
      </w:tblPr>
      <w:tblGrid>
        <w:gridCol w:w="4988"/>
        <w:gridCol w:w="5786"/>
      </w:tblGrid>
      <w:tr w:rsidR="002F5061" w14:paraId="76E68612" w14:textId="77777777" w:rsidTr="00130774">
        <w:tc>
          <w:tcPr>
            <w:tcW w:w="4988" w:type="dxa"/>
          </w:tcPr>
          <w:p w14:paraId="1FAF856D" w14:textId="77777777" w:rsidR="002F5061" w:rsidRDefault="002F5061" w:rsidP="00584626">
            <w:pPr>
              <w:spacing w:line="276" w:lineRule="auto"/>
              <w:jc w:val="both"/>
            </w:pPr>
            <w:r w:rsidRPr="00B02E29">
              <w:rPr>
                <w:b/>
              </w:rPr>
              <w:t>Ziel</w:t>
            </w:r>
          </w:p>
        </w:tc>
        <w:tc>
          <w:tcPr>
            <w:tcW w:w="5786" w:type="dxa"/>
          </w:tcPr>
          <w:p w14:paraId="2B9E671D" w14:textId="77777777" w:rsidR="002F5061" w:rsidRDefault="002F5061" w:rsidP="00584626">
            <w:pPr>
              <w:spacing w:line="276" w:lineRule="auto"/>
              <w:jc w:val="both"/>
            </w:pPr>
            <w:r>
              <w:rPr>
                <w:b/>
              </w:rPr>
              <w:t>Maßnahmen</w:t>
            </w:r>
          </w:p>
        </w:tc>
      </w:tr>
      <w:tr w:rsidR="002F5061" w14:paraId="080EBF4A" w14:textId="77777777" w:rsidTr="00130774">
        <w:tc>
          <w:tcPr>
            <w:tcW w:w="4988" w:type="dxa"/>
          </w:tcPr>
          <w:p w14:paraId="04B245C5" w14:textId="77777777" w:rsidR="002F5061" w:rsidRPr="00A01F46" w:rsidRDefault="002F5061" w:rsidP="00584626">
            <w:pPr>
              <w:spacing w:line="276" w:lineRule="auto"/>
              <w:jc w:val="both"/>
            </w:pPr>
            <w:r>
              <w:t xml:space="preserve">In allen Unterrichtszimmer stehen </w:t>
            </w:r>
            <w:r w:rsidRPr="00F02FD6">
              <w:rPr>
                <w:b/>
              </w:rPr>
              <w:t>einheitliche</w:t>
            </w:r>
            <w:r>
              <w:t xml:space="preserve"> </w:t>
            </w:r>
            <w:r w:rsidRPr="00F02FD6">
              <w:rPr>
                <w:b/>
              </w:rPr>
              <w:t>Präsentationsmedien</w:t>
            </w:r>
            <w:r>
              <w:t xml:space="preserve"> (fest installierter </w:t>
            </w:r>
            <w:proofErr w:type="spellStart"/>
            <w:r>
              <w:t>Beamer</w:t>
            </w:r>
            <w:proofErr w:type="spellEnd"/>
            <w:r>
              <w:t>, Endgerät, Visualizer) zur Verfügung.</w:t>
            </w:r>
          </w:p>
        </w:tc>
        <w:tc>
          <w:tcPr>
            <w:tcW w:w="5786" w:type="dxa"/>
          </w:tcPr>
          <w:p w14:paraId="462B5954" w14:textId="77777777" w:rsidR="002F5061" w:rsidRDefault="002F5061" w:rsidP="00584626">
            <w:pPr>
              <w:spacing w:line="276" w:lineRule="auto"/>
              <w:jc w:val="both"/>
            </w:pPr>
            <w:r>
              <w:t xml:space="preserve">Die Schule vereinbart mit dem Schulträger die (schrittweise) Ausstattung aller Unterrichtszimmer mit </w:t>
            </w:r>
            <w:proofErr w:type="spellStart"/>
            <w:r>
              <w:t>Beamer</w:t>
            </w:r>
            <w:proofErr w:type="spellEnd"/>
            <w:r>
              <w:t>, Soundanlage, Dokumentenkamera und Apple TV.</w:t>
            </w:r>
          </w:p>
        </w:tc>
      </w:tr>
      <w:tr w:rsidR="002F5061" w14:paraId="6B81CDF3" w14:textId="77777777" w:rsidTr="00130774">
        <w:tc>
          <w:tcPr>
            <w:tcW w:w="4988" w:type="dxa"/>
          </w:tcPr>
          <w:p w14:paraId="38CD3035" w14:textId="77777777" w:rsidR="002F5061" w:rsidRDefault="002F5061" w:rsidP="00584626">
            <w:pPr>
              <w:spacing w:line="276" w:lineRule="auto"/>
              <w:jc w:val="both"/>
            </w:pPr>
            <w:r>
              <w:t xml:space="preserve">Die Schule verfügt über ein W-LAN mit </w:t>
            </w:r>
            <w:r w:rsidRPr="00F02FD6">
              <w:rPr>
                <w:b/>
              </w:rPr>
              <w:t>Breitbandanschluss</w:t>
            </w:r>
            <w:r>
              <w:t>.</w:t>
            </w:r>
          </w:p>
        </w:tc>
        <w:tc>
          <w:tcPr>
            <w:tcW w:w="5786" w:type="dxa"/>
          </w:tcPr>
          <w:p w14:paraId="32BF2F2E" w14:textId="77777777" w:rsidR="002F5061" w:rsidRDefault="002F5061" w:rsidP="00584626">
            <w:pPr>
              <w:spacing w:line="276" w:lineRule="auto"/>
              <w:jc w:val="both"/>
            </w:pPr>
            <w:r>
              <w:t>Die Schule vereinbart mit dem Schulträger den Breitbandanschluss. Alle Klassenzimmer werden strukturiert verkabelt und mit Access Points ausgestattet.</w:t>
            </w:r>
          </w:p>
        </w:tc>
      </w:tr>
      <w:tr w:rsidR="002F5061" w14:paraId="105A3171" w14:textId="77777777" w:rsidTr="00130774">
        <w:tc>
          <w:tcPr>
            <w:tcW w:w="4988" w:type="dxa"/>
          </w:tcPr>
          <w:p w14:paraId="6DC6E61A" w14:textId="77777777" w:rsidR="002F5061" w:rsidRDefault="002F5061" w:rsidP="00584626">
            <w:pPr>
              <w:spacing w:line="276" w:lineRule="auto"/>
              <w:jc w:val="both"/>
            </w:pPr>
            <w:r>
              <w:t xml:space="preserve">Die Schule verfügt über </w:t>
            </w:r>
            <w:r w:rsidRPr="00F02FD6">
              <w:rPr>
                <w:b/>
              </w:rPr>
              <w:t>Arbeitsrechner</w:t>
            </w:r>
            <w:r>
              <w:t xml:space="preserve"> für </w:t>
            </w:r>
            <w:proofErr w:type="spellStart"/>
            <w:r>
              <w:t>LehrerInnen</w:t>
            </w:r>
            <w:proofErr w:type="spellEnd"/>
            <w:r>
              <w:t>.</w:t>
            </w:r>
          </w:p>
        </w:tc>
        <w:tc>
          <w:tcPr>
            <w:tcW w:w="5786" w:type="dxa"/>
          </w:tcPr>
          <w:p w14:paraId="027652FC" w14:textId="77777777" w:rsidR="002F5061" w:rsidRDefault="002F5061" w:rsidP="00584626">
            <w:pPr>
              <w:spacing w:line="276" w:lineRule="auto"/>
              <w:jc w:val="both"/>
            </w:pPr>
            <w:r>
              <w:t>Die Schule vereinbart mit dem Schulträger die Beschaffung von xx Arbeitsrechner für das Kollegium.</w:t>
            </w:r>
          </w:p>
        </w:tc>
      </w:tr>
      <w:tr w:rsidR="002F5061" w14:paraId="60207ED6" w14:textId="77777777" w:rsidTr="00130774">
        <w:tc>
          <w:tcPr>
            <w:tcW w:w="4988" w:type="dxa"/>
          </w:tcPr>
          <w:p w14:paraId="6F276FC0" w14:textId="77777777" w:rsidR="002F5061" w:rsidRPr="00A01F46" w:rsidRDefault="002F5061" w:rsidP="00584626">
            <w:pPr>
              <w:spacing w:line="276" w:lineRule="auto"/>
              <w:jc w:val="both"/>
            </w:pPr>
            <w:r>
              <w:t xml:space="preserve">Die Schule verfügt aber xx </w:t>
            </w:r>
            <w:r w:rsidRPr="00F02FD6">
              <w:rPr>
                <w:b/>
              </w:rPr>
              <w:t>Tablets</w:t>
            </w:r>
            <w:r>
              <w:t>, die als Schülergeräte im Unterricht eingesetzt werden können.</w:t>
            </w:r>
          </w:p>
        </w:tc>
        <w:tc>
          <w:tcPr>
            <w:tcW w:w="5786" w:type="dxa"/>
          </w:tcPr>
          <w:p w14:paraId="56F71654" w14:textId="77777777" w:rsidR="002F5061" w:rsidRDefault="002F5061" w:rsidP="00584626">
            <w:pPr>
              <w:spacing w:line="276" w:lineRule="auto"/>
              <w:jc w:val="both"/>
            </w:pPr>
            <w:r>
              <w:t>Die Schule vereinbart mit dem Schulträger die Anschaffung von xx Tablets.</w:t>
            </w:r>
          </w:p>
        </w:tc>
      </w:tr>
      <w:tr w:rsidR="002F5061" w14:paraId="1B9C67FD" w14:textId="77777777" w:rsidTr="00130774">
        <w:tc>
          <w:tcPr>
            <w:tcW w:w="4988" w:type="dxa"/>
          </w:tcPr>
          <w:p w14:paraId="59AECE47" w14:textId="77777777" w:rsidR="002F5061" w:rsidRPr="00A01F46" w:rsidRDefault="002F5061" w:rsidP="00584626">
            <w:pPr>
              <w:spacing w:line="276" w:lineRule="auto"/>
              <w:jc w:val="both"/>
            </w:pPr>
            <w:r>
              <w:t xml:space="preserve">Die </w:t>
            </w:r>
            <w:r w:rsidRPr="00F02FD6">
              <w:rPr>
                <w:b/>
              </w:rPr>
              <w:t>mobilen</w:t>
            </w:r>
            <w:r>
              <w:t xml:space="preserve"> </w:t>
            </w:r>
            <w:r w:rsidRPr="00F02FD6">
              <w:rPr>
                <w:b/>
              </w:rPr>
              <w:t>Endgeräte</w:t>
            </w:r>
            <w:r>
              <w:t xml:space="preserve"> der Schule werden in einem </w:t>
            </w:r>
            <w:r w:rsidRPr="00F02FD6">
              <w:rPr>
                <w:b/>
              </w:rPr>
              <w:t>MDM</w:t>
            </w:r>
            <w:r>
              <w:t xml:space="preserve"> verwaltet.</w:t>
            </w:r>
          </w:p>
        </w:tc>
        <w:tc>
          <w:tcPr>
            <w:tcW w:w="5786" w:type="dxa"/>
          </w:tcPr>
          <w:p w14:paraId="222C6145" w14:textId="77777777" w:rsidR="002F5061" w:rsidRDefault="002F5061" w:rsidP="00584626">
            <w:pPr>
              <w:spacing w:line="276" w:lineRule="auto"/>
              <w:jc w:val="both"/>
            </w:pPr>
            <w:r w:rsidRPr="001C2686">
              <w:rPr>
                <w:rFonts w:ascii="Calibri" w:eastAsia="Times New Roman" w:hAnsi="Calibri" w:cs="Calibri"/>
                <w:color w:val="000000"/>
                <w:lang w:eastAsia="de-DE"/>
              </w:rPr>
              <w:t xml:space="preserve">Die Schule schließt sich bei der Verwaltung der iPads der gesamtstädtischen MDM Lösung an. </w:t>
            </w:r>
          </w:p>
        </w:tc>
      </w:tr>
      <w:tr w:rsidR="002F5061" w14:paraId="07C3E11E" w14:textId="77777777" w:rsidTr="00130774">
        <w:tc>
          <w:tcPr>
            <w:tcW w:w="4988" w:type="dxa"/>
          </w:tcPr>
          <w:p w14:paraId="5A4E192B" w14:textId="77777777" w:rsidR="002F5061" w:rsidRDefault="002F5061" w:rsidP="00584626">
            <w:pPr>
              <w:spacing w:line="276" w:lineRule="auto"/>
              <w:jc w:val="both"/>
            </w:pPr>
            <w:r>
              <w:t xml:space="preserve">Neue </w:t>
            </w:r>
            <w:r w:rsidRPr="00F02FD6">
              <w:rPr>
                <w:b/>
              </w:rPr>
              <w:t>Technologien</w:t>
            </w:r>
            <w:r>
              <w:t xml:space="preserve"> werden angeschafft.</w:t>
            </w:r>
          </w:p>
        </w:tc>
        <w:tc>
          <w:tcPr>
            <w:tcW w:w="5786" w:type="dxa"/>
          </w:tcPr>
          <w:p w14:paraId="012872AC" w14:textId="77777777" w:rsidR="002F5061" w:rsidRPr="001C2686" w:rsidRDefault="002F5061"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Die Schule schafft einen Koffer mit VR-Brillen (</w:t>
            </w:r>
            <w:proofErr w:type="spellStart"/>
            <w:r>
              <w:rPr>
                <w:rFonts w:ascii="Calibri" w:eastAsia="Times New Roman" w:hAnsi="Calibri" w:cs="Calibri"/>
                <w:color w:val="000000"/>
                <w:lang w:eastAsia="de-DE"/>
              </w:rPr>
              <w:t>Oculus</w:t>
            </w:r>
            <w:proofErr w:type="spellEnd"/>
            <w:r>
              <w:rPr>
                <w:rFonts w:ascii="Calibri" w:eastAsia="Times New Roman" w:hAnsi="Calibri" w:cs="Calibri"/>
                <w:color w:val="000000"/>
                <w:lang w:eastAsia="de-DE"/>
              </w:rPr>
              <w:t xml:space="preserve"> Go) und 360-Grad-Kameras an. </w:t>
            </w:r>
          </w:p>
        </w:tc>
      </w:tr>
    </w:tbl>
    <w:p w14:paraId="009FEAF5" w14:textId="77777777" w:rsidR="002F5061" w:rsidRDefault="002F5061" w:rsidP="00584626">
      <w:pPr>
        <w:spacing w:line="276" w:lineRule="auto"/>
        <w:jc w:val="both"/>
      </w:pPr>
    </w:p>
    <w:p w14:paraId="40FB9A36" w14:textId="77777777" w:rsidR="00F02FD6" w:rsidRDefault="00F02FD6" w:rsidP="00584626">
      <w:pPr>
        <w:spacing w:line="276" w:lineRule="auto"/>
        <w:jc w:val="both"/>
        <w:rPr>
          <w:b/>
          <w:sz w:val="28"/>
        </w:rPr>
      </w:pPr>
      <w:r>
        <w:rPr>
          <w:b/>
          <w:sz w:val="28"/>
        </w:rPr>
        <w:br w:type="page"/>
      </w:r>
    </w:p>
    <w:p w14:paraId="42828B4C" w14:textId="599B96F8" w:rsidR="00540673" w:rsidRPr="00BA361D" w:rsidRDefault="00540673" w:rsidP="00584626">
      <w:pPr>
        <w:spacing w:line="276" w:lineRule="auto"/>
        <w:ind w:left="-851"/>
        <w:jc w:val="both"/>
        <w:rPr>
          <w:b/>
          <w:sz w:val="28"/>
        </w:rPr>
      </w:pPr>
      <w:r w:rsidRPr="00BA361D">
        <w:rPr>
          <w:b/>
          <w:sz w:val="28"/>
        </w:rPr>
        <w:lastRenderedPageBreak/>
        <w:t>Personalentwicklung</w:t>
      </w:r>
      <w:r w:rsidR="002F5061">
        <w:rPr>
          <w:b/>
          <w:sz w:val="28"/>
        </w:rPr>
        <w:t xml:space="preserve"> (abgestimmt auf Unterrichtsentwicklung und technischer Entwicklung)</w:t>
      </w:r>
    </w:p>
    <w:tbl>
      <w:tblPr>
        <w:tblStyle w:val="Tabellenraster"/>
        <w:tblW w:w="10774" w:type="dxa"/>
        <w:tblInd w:w="-856" w:type="dxa"/>
        <w:tblLook w:val="04A0" w:firstRow="1" w:lastRow="0" w:firstColumn="1" w:lastColumn="0" w:noHBand="0" w:noVBand="1"/>
      </w:tblPr>
      <w:tblGrid>
        <w:gridCol w:w="4991"/>
        <w:gridCol w:w="5783"/>
      </w:tblGrid>
      <w:tr w:rsidR="00540673" w14:paraId="0CBFCAC0" w14:textId="77777777" w:rsidTr="00353077">
        <w:tc>
          <w:tcPr>
            <w:tcW w:w="4991" w:type="dxa"/>
          </w:tcPr>
          <w:p w14:paraId="2526BD6D" w14:textId="77777777" w:rsidR="00540673" w:rsidRDefault="00540673" w:rsidP="00584626">
            <w:pPr>
              <w:spacing w:line="276" w:lineRule="auto"/>
              <w:jc w:val="both"/>
            </w:pPr>
            <w:r w:rsidRPr="00B02E29">
              <w:rPr>
                <w:b/>
              </w:rPr>
              <w:t>Ziel</w:t>
            </w:r>
          </w:p>
        </w:tc>
        <w:tc>
          <w:tcPr>
            <w:tcW w:w="5783" w:type="dxa"/>
          </w:tcPr>
          <w:p w14:paraId="5A3DB7C4" w14:textId="77777777" w:rsidR="00540673" w:rsidRDefault="00540673" w:rsidP="00584626">
            <w:pPr>
              <w:spacing w:line="276" w:lineRule="auto"/>
              <w:jc w:val="both"/>
            </w:pPr>
            <w:r>
              <w:rPr>
                <w:b/>
              </w:rPr>
              <w:t>Maßnahmen</w:t>
            </w:r>
          </w:p>
        </w:tc>
      </w:tr>
      <w:tr w:rsidR="00540673" w14:paraId="2AF84541" w14:textId="77777777" w:rsidTr="00353077">
        <w:tc>
          <w:tcPr>
            <w:tcW w:w="4991" w:type="dxa"/>
          </w:tcPr>
          <w:p w14:paraId="34D1D47C" w14:textId="77777777" w:rsidR="00540673" w:rsidRDefault="00540673" w:rsidP="00584626">
            <w:pPr>
              <w:spacing w:line="276" w:lineRule="auto"/>
              <w:jc w:val="both"/>
            </w:pPr>
            <w:r w:rsidRPr="00B02E29">
              <w:t xml:space="preserve">Unsere </w:t>
            </w:r>
            <w:proofErr w:type="spellStart"/>
            <w:r w:rsidRPr="00B02E29">
              <w:t>Lehrer</w:t>
            </w:r>
            <w:r>
              <w:t>Innen</w:t>
            </w:r>
            <w:proofErr w:type="spellEnd"/>
            <w:r w:rsidRPr="00B02E29">
              <w:t xml:space="preserve"> können mit aktueller </w:t>
            </w:r>
            <w:r w:rsidRPr="00F02FD6">
              <w:rPr>
                <w:b/>
              </w:rPr>
              <w:t>Präsentationstechnik</w:t>
            </w:r>
            <w:r w:rsidRPr="00B02E29">
              <w:t xml:space="preserve"> umgehen.</w:t>
            </w:r>
          </w:p>
        </w:tc>
        <w:tc>
          <w:tcPr>
            <w:tcW w:w="5783" w:type="dxa"/>
          </w:tcPr>
          <w:p w14:paraId="70D15D61" w14:textId="77777777" w:rsidR="00540673" w:rsidRDefault="00540673" w:rsidP="00584626">
            <w:pPr>
              <w:spacing w:line="276" w:lineRule="auto"/>
              <w:jc w:val="both"/>
            </w:pPr>
            <w:r>
              <w:t>Zu Beginn des Schuljahres finden Schulungen zur Präsentationstechnik im Schulhaus statt.</w:t>
            </w:r>
          </w:p>
        </w:tc>
      </w:tr>
      <w:tr w:rsidR="00540673" w14:paraId="16616604" w14:textId="77777777" w:rsidTr="00353077">
        <w:tc>
          <w:tcPr>
            <w:tcW w:w="4991" w:type="dxa"/>
          </w:tcPr>
          <w:p w14:paraId="1185A190" w14:textId="77777777" w:rsidR="00540673" w:rsidRPr="00B02E29" w:rsidRDefault="00540673" w:rsidP="00584626">
            <w:pPr>
              <w:spacing w:line="276" w:lineRule="auto"/>
              <w:jc w:val="both"/>
            </w:pPr>
            <w:r>
              <w:t xml:space="preserve">Unsere </w:t>
            </w:r>
            <w:proofErr w:type="spellStart"/>
            <w:r>
              <w:t>LehrerInnen</w:t>
            </w:r>
            <w:proofErr w:type="spellEnd"/>
            <w:r>
              <w:t xml:space="preserve"> nutzen gängige </w:t>
            </w:r>
            <w:r w:rsidRPr="00F02FD6">
              <w:rPr>
                <w:b/>
              </w:rPr>
              <w:t>Office</w:t>
            </w:r>
            <w:r>
              <w:t>-Anwendungen zur Erstellung von Materialien.</w:t>
            </w:r>
          </w:p>
        </w:tc>
        <w:tc>
          <w:tcPr>
            <w:tcW w:w="5783" w:type="dxa"/>
          </w:tcPr>
          <w:p w14:paraId="4E93C7B6" w14:textId="77777777" w:rsidR="00540673" w:rsidRDefault="00540673" w:rsidP="00584626">
            <w:pPr>
              <w:spacing w:line="276" w:lineRule="auto"/>
              <w:jc w:val="both"/>
            </w:pPr>
            <w:r>
              <w:t>Zu Beginn des Schuljahres finden Schulungen zu Office-Anwendungen statt.</w:t>
            </w:r>
          </w:p>
        </w:tc>
      </w:tr>
      <w:tr w:rsidR="00540673" w14:paraId="338DAD84" w14:textId="77777777" w:rsidTr="00353077">
        <w:tc>
          <w:tcPr>
            <w:tcW w:w="4991" w:type="dxa"/>
          </w:tcPr>
          <w:p w14:paraId="31935336" w14:textId="77777777" w:rsidR="00540673" w:rsidRDefault="00540673" w:rsidP="00584626">
            <w:pPr>
              <w:spacing w:line="276" w:lineRule="auto"/>
              <w:jc w:val="both"/>
            </w:pPr>
            <w:r>
              <w:t xml:space="preserve">Die </w:t>
            </w:r>
            <w:proofErr w:type="spellStart"/>
            <w:r>
              <w:t>LehrerInnen</w:t>
            </w:r>
            <w:proofErr w:type="spellEnd"/>
            <w:r>
              <w:t xml:space="preserve"> werden </w:t>
            </w:r>
            <w:r w:rsidRPr="00F02FD6">
              <w:rPr>
                <w:b/>
              </w:rPr>
              <w:t>kontinuierlich</w:t>
            </w:r>
            <w:r>
              <w:t xml:space="preserve"> in der Nutzung digitaler Medien </w:t>
            </w:r>
            <w:r w:rsidRPr="00F02FD6">
              <w:rPr>
                <w:b/>
              </w:rPr>
              <w:t>fortgebildet</w:t>
            </w:r>
            <w:r>
              <w:t>.</w:t>
            </w:r>
          </w:p>
        </w:tc>
        <w:tc>
          <w:tcPr>
            <w:tcW w:w="5783" w:type="dxa"/>
          </w:tcPr>
          <w:p w14:paraId="7BEC1B73" w14:textId="77777777" w:rsidR="00540673" w:rsidRDefault="00540673" w:rsidP="00584626">
            <w:pPr>
              <w:spacing w:line="276" w:lineRule="auto"/>
              <w:jc w:val="both"/>
            </w:pPr>
            <w:r>
              <w:t>Die Schule erstellt ein Fortbildungskonzept für den Unterricht mit digitalen Medien.</w:t>
            </w:r>
          </w:p>
          <w:p w14:paraId="2BE60D01" w14:textId="77777777" w:rsidR="00540673" w:rsidRDefault="00540673" w:rsidP="00584626">
            <w:pPr>
              <w:spacing w:line="276" w:lineRule="auto"/>
              <w:jc w:val="both"/>
            </w:pPr>
            <w:r>
              <w:t>Unsere Lehrer nehmen regelmäßig an Fortbildungen (des ZSL, des SMZ, des LMZ oder von anderen Trägern) zum Einsatz digitaler Medien im Unterricht teil. Diese Fortbildungen werden in den Fachschaften bzw. in der Gesamtlehrerkonferenz multipliziert.</w:t>
            </w:r>
          </w:p>
        </w:tc>
      </w:tr>
      <w:tr w:rsidR="00540673" w14:paraId="23FD99FC" w14:textId="77777777" w:rsidTr="00353077">
        <w:tc>
          <w:tcPr>
            <w:tcW w:w="4991" w:type="dxa"/>
          </w:tcPr>
          <w:p w14:paraId="5D4665BC" w14:textId="77777777" w:rsidR="00540673" w:rsidRPr="00A01F46" w:rsidRDefault="00540673" w:rsidP="00584626">
            <w:pPr>
              <w:spacing w:line="276" w:lineRule="auto"/>
              <w:jc w:val="both"/>
            </w:pPr>
            <w:r w:rsidRPr="00A01F46">
              <w:t xml:space="preserve">Alle Lehrkräfte kennen bis zum Ende des Schuljahres die rechtlichen Grundlagen, z.B. </w:t>
            </w:r>
            <w:r w:rsidRPr="00F02FD6">
              <w:rPr>
                <w:b/>
              </w:rPr>
              <w:t>Urheberrecht</w:t>
            </w:r>
            <w:r w:rsidRPr="00A01F46">
              <w:t xml:space="preserve"> und </w:t>
            </w:r>
            <w:r w:rsidRPr="00F02FD6">
              <w:rPr>
                <w:b/>
              </w:rPr>
              <w:t>Datenschutz</w:t>
            </w:r>
            <w:r w:rsidRPr="00A01F46">
              <w:t xml:space="preserve"> bei der Arbeit mit digitalen Geräten bzw. der Nutzung digitaler Medien.</w:t>
            </w:r>
          </w:p>
        </w:tc>
        <w:tc>
          <w:tcPr>
            <w:tcW w:w="5783" w:type="dxa"/>
          </w:tcPr>
          <w:p w14:paraId="70B9D3C1" w14:textId="77777777" w:rsidR="00540673" w:rsidRDefault="00540673" w:rsidP="00584626">
            <w:pPr>
              <w:spacing w:line="276" w:lineRule="auto"/>
              <w:jc w:val="both"/>
            </w:pPr>
            <w:r>
              <w:rPr>
                <w:rFonts w:ascii="Calibri" w:hAnsi="Calibri" w:cs="Calibri"/>
                <w:color w:val="000000"/>
              </w:rPr>
              <w:t>Im kommenden Schuljahr finden zwei schulinterne Fortbildungsveranstaltungen zum Thema Urheberrecht und Datenschutz statt.</w:t>
            </w:r>
          </w:p>
        </w:tc>
      </w:tr>
      <w:tr w:rsidR="00540673" w14:paraId="0283463C" w14:textId="77777777" w:rsidTr="00353077">
        <w:tc>
          <w:tcPr>
            <w:tcW w:w="4991" w:type="dxa"/>
          </w:tcPr>
          <w:p w14:paraId="53093096" w14:textId="77777777" w:rsidR="00540673" w:rsidRDefault="00540673" w:rsidP="00584626">
            <w:pPr>
              <w:spacing w:line="276" w:lineRule="auto"/>
              <w:jc w:val="both"/>
            </w:pPr>
            <w:r>
              <w:t xml:space="preserve">Im Kollegium findet </w:t>
            </w:r>
            <w:r w:rsidRPr="00F02FD6">
              <w:rPr>
                <w:b/>
              </w:rPr>
              <w:t>regelmäßiger</w:t>
            </w:r>
            <w:r>
              <w:t xml:space="preserve"> </w:t>
            </w:r>
            <w:r w:rsidRPr="00F02FD6">
              <w:rPr>
                <w:b/>
              </w:rPr>
              <w:t>Austausch</w:t>
            </w:r>
            <w:r>
              <w:t xml:space="preserve"> über die Nutzung digitaler Medien statt.</w:t>
            </w:r>
          </w:p>
        </w:tc>
        <w:tc>
          <w:tcPr>
            <w:tcW w:w="5783" w:type="dxa"/>
          </w:tcPr>
          <w:p w14:paraId="2299D4BE" w14:textId="77777777" w:rsidR="00540673" w:rsidRDefault="00540673" w:rsidP="00584626">
            <w:pPr>
              <w:spacing w:line="276" w:lineRule="auto"/>
              <w:jc w:val="both"/>
            </w:pPr>
            <w:r>
              <w:t xml:space="preserve">Unsere </w:t>
            </w:r>
            <w:proofErr w:type="spellStart"/>
            <w:r>
              <w:t>LehrerInnen</w:t>
            </w:r>
            <w:proofErr w:type="spellEnd"/>
            <w:r>
              <w:t xml:space="preserve"> bilden sich regelmäßig und institutionalisiert gegenseitig zum Einsatz digitaler Medien im Unterricht fort. Dazu können auch kollegiale Unterrichtshospitationen gehören.</w:t>
            </w:r>
          </w:p>
        </w:tc>
      </w:tr>
      <w:tr w:rsidR="00540673" w14:paraId="16941FE7" w14:textId="77777777" w:rsidTr="00353077">
        <w:tc>
          <w:tcPr>
            <w:tcW w:w="4991" w:type="dxa"/>
          </w:tcPr>
          <w:p w14:paraId="012A0AAC" w14:textId="77777777" w:rsidR="00540673" w:rsidRDefault="00540673" w:rsidP="00584626">
            <w:pPr>
              <w:spacing w:line="276" w:lineRule="auto"/>
              <w:jc w:val="both"/>
            </w:pPr>
            <w:r>
              <w:t xml:space="preserve">Unsere </w:t>
            </w:r>
            <w:proofErr w:type="spellStart"/>
            <w:r>
              <w:t>LehrerInnen</w:t>
            </w:r>
            <w:proofErr w:type="spellEnd"/>
            <w:r>
              <w:t xml:space="preserve"> </w:t>
            </w:r>
            <w:r w:rsidRPr="00F02FD6">
              <w:rPr>
                <w:b/>
              </w:rPr>
              <w:t>vernetzen</w:t>
            </w:r>
            <w:r>
              <w:t xml:space="preserve"> sich mit Kollegen anderer Schulen, um sich über Einsatzmöglichkeiten digitaler Medien im Unterricht auszutauschen.</w:t>
            </w:r>
          </w:p>
        </w:tc>
        <w:tc>
          <w:tcPr>
            <w:tcW w:w="5783" w:type="dxa"/>
          </w:tcPr>
          <w:p w14:paraId="44E815AB" w14:textId="50E31F1E" w:rsidR="00540673" w:rsidRDefault="00540673" w:rsidP="00584626">
            <w:pPr>
              <w:spacing w:line="276" w:lineRule="auto"/>
              <w:jc w:val="both"/>
            </w:pPr>
            <w:r>
              <w:t xml:space="preserve">Im Laufe des Schuljahres werden zwei </w:t>
            </w:r>
            <w:proofErr w:type="spellStart"/>
            <w:r w:rsidR="00321E27">
              <w:t>SchiLFs</w:t>
            </w:r>
            <w:proofErr w:type="spellEnd"/>
            <w:r>
              <w:t xml:space="preserve"> zusammen mit der XYZ-Schule zum Einsatz digitaler Medien organisiert.</w:t>
            </w:r>
          </w:p>
        </w:tc>
      </w:tr>
      <w:tr w:rsidR="00540673" w:rsidRPr="00BA361D" w14:paraId="31995DA6" w14:textId="77777777" w:rsidTr="00353077">
        <w:trPr>
          <w:trHeight w:val="570"/>
        </w:trPr>
        <w:tc>
          <w:tcPr>
            <w:tcW w:w="4991" w:type="dxa"/>
            <w:hideMark/>
          </w:tcPr>
          <w:p w14:paraId="4B989F08"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Die Schule steigert die </w:t>
            </w:r>
            <w:r w:rsidRPr="00F02FD6">
              <w:rPr>
                <w:rFonts w:ascii="Calibri" w:eastAsia="Times New Roman" w:hAnsi="Calibri" w:cs="Calibri"/>
                <w:b/>
                <w:color w:val="000000"/>
                <w:lang w:eastAsia="de-DE"/>
              </w:rPr>
              <w:t>Qualifizierung</w:t>
            </w:r>
            <w:r w:rsidRPr="00BA361D">
              <w:rPr>
                <w:rFonts w:ascii="Calibri" w:eastAsia="Times New Roman" w:hAnsi="Calibri" w:cs="Calibri"/>
                <w:color w:val="000000"/>
                <w:lang w:eastAsia="de-DE"/>
              </w:rPr>
              <w:t xml:space="preserve"> einzelner Lehrkräfte im Hinblick auf das Thema </w:t>
            </w:r>
            <w:r w:rsidRPr="00F02FD6">
              <w:rPr>
                <w:rFonts w:ascii="Calibri" w:eastAsia="Times New Roman" w:hAnsi="Calibri" w:cs="Calibri"/>
                <w:b/>
                <w:color w:val="000000"/>
                <w:lang w:eastAsia="de-DE"/>
              </w:rPr>
              <w:t>Medieneinsatz</w:t>
            </w:r>
            <w:r w:rsidRPr="00BA361D">
              <w:rPr>
                <w:rFonts w:ascii="Calibri" w:eastAsia="Times New Roman" w:hAnsi="Calibri" w:cs="Calibri"/>
                <w:color w:val="000000"/>
                <w:lang w:eastAsia="de-DE"/>
              </w:rPr>
              <w:t xml:space="preserve"> im Unterricht.</w:t>
            </w:r>
          </w:p>
        </w:tc>
        <w:tc>
          <w:tcPr>
            <w:tcW w:w="5783" w:type="dxa"/>
            <w:hideMark/>
          </w:tcPr>
          <w:p w14:paraId="3919E600"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Zwei </w:t>
            </w:r>
            <w:proofErr w:type="spellStart"/>
            <w:r w:rsidRPr="00BA361D">
              <w:rPr>
                <w:rFonts w:ascii="Calibri" w:eastAsia="Times New Roman" w:hAnsi="Calibri" w:cs="Calibri"/>
                <w:color w:val="000000"/>
                <w:lang w:eastAsia="de-DE"/>
              </w:rPr>
              <w:t>LehrerInnen</w:t>
            </w:r>
            <w:proofErr w:type="spellEnd"/>
            <w:r w:rsidRPr="00BA361D">
              <w:rPr>
                <w:rFonts w:ascii="Calibri" w:eastAsia="Times New Roman" w:hAnsi="Calibri" w:cs="Calibri"/>
                <w:color w:val="000000"/>
                <w:lang w:eastAsia="de-DE"/>
              </w:rPr>
              <w:t xml:space="preserve"> werden im kommenden Schuljahr zu MMB ausgebildet.</w:t>
            </w:r>
          </w:p>
        </w:tc>
      </w:tr>
      <w:tr w:rsidR="00540673" w:rsidRPr="00BA361D" w14:paraId="10F69F3A" w14:textId="77777777" w:rsidTr="00353077">
        <w:trPr>
          <w:trHeight w:val="570"/>
        </w:trPr>
        <w:tc>
          <w:tcPr>
            <w:tcW w:w="4991" w:type="dxa"/>
            <w:hideMark/>
          </w:tcPr>
          <w:p w14:paraId="63AA865D"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Die Schule schafft im kommenden Schuljahr die Voraussetzung für den Ausbau des </w:t>
            </w:r>
            <w:r w:rsidRPr="00F02FD6">
              <w:rPr>
                <w:rFonts w:ascii="Calibri" w:eastAsia="Times New Roman" w:hAnsi="Calibri" w:cs="Calibri"/>
                <w:b/>
                <w:color w:val="000000"/>
                <w:lang w:eastAsia="de-DE"/>
              </w:rPr>
              <w:t>Schwerpunktes</w:t>
            </w:r>
            <w:r w:rsidRPr="00BA361D">
              <w:rPr>
                <w:rFonts w:ascii="Calibri" w:eastAsia="Times New Roman" w:hAnsi="Calibri" w:cs="Calibri"/>
                <w:color w:val="000000"/>
                <w:lang w:eastAsia="de-DE"/>
              </w:rPr>
              <w:t xml:space="preserve"> </w:t>
            </w:r>
            <w:r w:rsidRPr="00F02FD6">
              <w:rPr>
                <w:rFonts w:ascii="Calibri" w:eastAsia="Times New Roman" w:hAnsi="Calibri" w:cs="Calibri"/>
                <w:b/>
                <w:color w:val="000000"/>
                <w:lang w:eastAsia="de-DE"/>
              </w:rPr>
              <w:t>IMP</w:t>
            </w:r>
            <w:r w:rsidRPr="00BA361D">
              <w:rPr>
                <w:rFonts w:ascii="Calibri" w:eastAsia="Times New Roman" w:hAnsi="Calibri" w:cs="Calibri"/>
                <w:color w:val="000000"/>
                <w:lang w:eastAsia="de-DE"/>
              </w:rPr>
              <w:t>.</w:t>
            </w:r>
          </w:p>
        </w:tc>
        <w:tc>
          <w:tcPr>
            <w:tcW w:w="5783" w:type="dxa"/>
            <w:hideMark/>
          </w:tcPr>
          <w:p w14:paraId="1FF18E8E"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Zwei </w:t>
            </w:r>
            <w:proofErr w:type="spellStart"/>
            <w:r w:rsidRPr="00BA361D">
              <w:rPr>
                <w:rFonts w:ascii="Calibri" w:eastAsia="Times New Roman" w:hAnsi="Calibri" w:cs="Calibri"/>
                <w:color w:val="000000"/>
                <w:lang w:eastAsia="de-DE"/>
              </w:rPr>
              <w:t>Lehrer</w:t>
            </w:r>
            <w:r>
              <w:rPr>
                <w:rFonts w:ascii="Calibri" w:eastAsia="Times New Roman" w:hAnsi="Calibri" w:cs="Calibri"/>
                <w:color w:val="000000"/>
                <w:lang w:eastAsia="de-DE"/>
              </w:rPr>
              <w:t>Innen</w:t>
            </w:r>
            <w:proofErr w:type="spellEnd"/>
            <w:r w:rsidRPr="00BA361D">
              <w:rPr>
                <w:rFonts w:ascii="Calibri" w:eastAsia="Times New Roman" w:hAnsi="Calibri" w:cs="Calibri"/>
                <w:color w:val="000000"/>
                <w:lang w:eastAsia="de-DE"/>
              </w:rPr>
              <w:t xml:space="preserve"> aus dem Naturwissenschaftlichen Bereich qualifizieren sich durch Fortbildungen zum Thema IMP.</w:t>
            </w:r>
          </w:p>
        </w:tc>
      </w:tr>
      <w:tr w:rsidR="00540673" w:rsidRPr="00BA361D" w14:paraId="0BD9C73D" w14:textId="77777777" w:rsidTr="00353077">
        <w:trPr>
          <w:trHeight w:val="855"/>
        </w:trPr>
        <w:tc>
          <w:tcPr>
            <w:tcW w:w="4991" w:type="dxa"/>
            <w:hideMark/>
          </w:tcPr>
          <w:p w14:paraId="60472C0A"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Die Schule nutzt im kommenden Schuljahr </w:t>
            </w:r>
            <w:r w:rsidRPr="00F02FD6">
              <w:rPr>
                <w:rFonts w:ascii="Calibri" w:eastAsia="Times New Roman" w:hAnsi="Calibri" w:cs="Calibri"/>
                <w:b/>
                <w:color w:val="000000"/>
                <w:lang w:eastAsia="de-DE"/>
              </w:rPr>
              <w:t xml:space="preserve">interne und externe Fortbildungsmaßnahmen </w:t>
            </w:r>
            <w:r w:rsidRPr="00BA361D">
              <w:rPr>
                <w:rFonts w:ascii="Calibri" w:eastAsia="Times New Roman" w:hAnsi="Calibri" w:cs="Calibri"/>
                <w:color w:val="000000"/>
                <w:lang w:eastAsia="de-DE"/>
              </w:rPr>
              <w:t xml:space="preserve">zur Qualifizierung zum Thema fächerintegrative Medienbildung. </w:t>
            </w:r>
          </w:p>
        </w:tc>
        <w:tc>
          <w:tcPr>
            <w:tcW w:w="5783" w:type="dxa"/>
            <w:hideMark/>
          </w:tcPr>
          <w:p w14:paraId="25716FC6"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Die Schule plant bis an Weihnachten den Besuch von Fortbildungen auf der Grundlage der Lehrerbefragung zum Thema Medienbildung.</w:t>
            </w:r>
          </w:p>
        </w:tc>
      </w:tr>
      <w:tr w:rsidR="00540673" w:rsidRPr="00BA361D" w14:paraId="25661001" w14:textId="77777777" w:rsidTr="00353077">
        <w:trPr>
          <w:trHeight w:val="570"/>
        </w:trPr>
        <w:tc>
          <w:tcPr>
            <w:tcW w:w="4991" w:type="dxa"/>
            <w:hideMark/>
          </w:tcPr>
          <w:p w14:paraId="3CBD2D80"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 xml:space="preserve">Die Schule nutzt </w:t>
            </w:r>
            <w:r w:rsidRPr="00F02FD6">
              <w:rPr>
                <w:rFonts w:ascii="Calibri" w:eastAsia="Times New Roman" w:hAnsi="Calibri" w:cs="Calibri"/>
                <w:b/>
                <w:color w:val="000000"/>
                <w:lang w:eastAsia="de-DE"/>
              </w:rPr>
              <w:t xml:space="preserve">regelmäßig schulinterne Fortbildungen </w:t>
            </w:r>
            <w:r w:rsidRPr="00BA361D">
              <w:rPr>
                <w:rFonts w:ascii="Calibri" w:eastAsia="Times New Roman" w:hAnsi="Calibri" w:cs="Calibri"/>
                <w:color w:val="000000"/>
                <w:lang w:eastAsia="de-DE"/>
              </w:rPr>
              <w:t>zur Qualifizierung von Lehrkräften zum Thema Medienbildung.</w:t>
            </w:r>
          </w:p>
        </w:tc>
        <w:tc>
          <w:tcPr>
            <w:tcW w:w="5783" w:type="dxa"/>
            <w:hideMark/>
          </w:tcPr>
          <w:p w14:paraId="40876622" w14:textId="77777777" w:rsidR="00540673" w:rsidRPr="00BA361D" w:rsidRDefault="00540673" w:rsidP="00584626">
            <w:pPr>
              <w:spacing w:line="276" w:lineRule="auto"/>
              <w:jc w:val="both"/>
              <w:rPr>
                <w:rFonts w:ascii="Calibri" w:eastAsia="Times New Roman" w:hAnsi="Calibri" w:cs="Calibri"/>
                <w:color w:val="000000"/>
                <w:lang w:eastAsia="de-DE"/>
              </w:rPr>
            </w:pPr>
            <w:r w:rsidRPr="00BA361D">
              <w:rPr>
                <w:rFonts w:ascii="Calibri" w:eastAsia="Times New Roman" w:hAnsi="Calibri" w:cs="Calibri"/>
                <w:color w:val="000000"/>
                <w:lang w:eastAsia="de-DE"/>
              </w:rPr>
              <w:t>Die Fachkonferenzen setzen einm</w:t>
            </w:r>
            <w:r>
              <w:rPr>
                <w:rFonts w:ascii="Calibri" w:eastAsia="Times New Roman" w:hAnsi="Calibri" w:cs="Calibri"/>
                <w:color w:val="000000"/>
                <w:lang w:eastAsia="de-DE"/>
              </w:rPr>
              <w:t>a</w:t>
            </w:r>
            <w:r w:rsidRPr="00BA361D">
              <w:rPr>
                <w:rFonts w:ascii="Calibri" w:eastAsia="Times New Roman" w:hAnsi="Calibri" w:cs="Calibri"/>
                <w:color w:val="000000"/>
                <w:lang w:eastAsia="de-DE"/>
              </w:rPr>
              <w:t>l im Jahr das Thema Medienbildung auf die Tagesordnung, bei dem Best Practice Beispiele vorgestellt werden.</w:t>
            </w:r>
          </w:p>
        </w:tc>
      </w:tr>
      <w:tr w:rsidR="00C73C5D" w:rsidRPr="00BA361D" w14:paraId="5FC8CC16" w14:textId="77777777" w:rsidTr="00353077">
        <w:trPr>
          <w:trHeight w:val="570"/>
        </w:trPr>
        <w:tc>
          <w:tcPr>
            <w:tcW w:w="4991" w:type="dxa"/>
          </w:tcPr>
          <w:p w14:paraId="4732891B" w14:textId="28E9C16D" w:rsidR="00C73C5D" w:rsidRPr="00BA361D" w:rsidRDefault="003D28EF"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Alle Lehrkräfte </w:t>
            </w:r>
            <w:r w:rsidR="005E52F1" w:rsidRPr="00F02FD6">
              <w:rPr>
                <w:rFonts w:ascii="Calibri" w:eastAsia="Times New Roman" w:hAnsi="Calibri" w:cs="Calibri"/>
                <w:b/>
                <w:color w:val="000000"/>
                <w:lang w:eastAsia="de-DE"/>
              </w:rPr>
              <w:t>bilden</w:t>
            </w:r>
            <w:r w:rsidR="005E52F1">
              <w:rPr>
                <w:rFonts w:ascii="Calibri" w:eastAsia="Times New Roman" w:hAnsi="Calibri" w:cs="Calibri"/>
                <w:color w:val="000000"/>
                <w:lang w:eastAsia="de-DE"/>
              </w:rPr>
              <w:t xml:space="preserve"> sich </w:t>
            </w:r>
            <w:r w:rsidR="005E52F1" w:rsidRPr="00F02FD6">
              <w:rPr>
                <w:rFonts w:ascii="Calibri" w:eastAsia="Times New Roman" w:hAnsi="Calibri" w:cs="Calibri"/>
                <w:b/>
                <w:color w:val="000000"/>
                <w:lang w:eastAsia="de-DE"/>
              </w:rPr>
              <w:t>individuell regelmäßig</w:t>
            </w:r>
            <w:r w:rsidR="005E52F1">
              <w:rPr>
                <w:rFonts w:ascii="Calibri" w:eastAsia="Times New Roman" w:hAnsi="Calibri" w:cs="Calibri"/>
                <w:color w:val="000000"/>
                <w:lang w:eastAsia="de-DE"/>
              </w:rPr>
              <w:t xml:space="preserve"> </w:t>
            </w:r>
            <w:r w:rsidR="005E52F1" w:rsidRPr="00F02FD6">
              <w:rPr>
                <w:rFonts w:ascii="Calibri" w:eastAsia="Times New Roman" w:hAnsi="Calibri" w:cs="Calibri"/>
                <w:b/>
                <w:color w:val="000000"/>
                <w:lang w:eastAsia="de-DE"/>
              </w:rPr>
              <w:t>fort</w:t>
            </w:r>
            <w:r w:rsidR="005E52F1">
              <w:rPr>
                <w:rFonts w:ascii="Calibri" w:eastAsia="Times New Roman" w:hAnsi="Calibri" w:cs="Calibri"/>
                <w:color w:val="000000"/>
                <w:lang w:eastAsia="de-DE"/>
              </w:rPr>
              <w:t xml:space="preserve"> und multiplizieren die Fortbildungen ans Kollegium bzw. ihre Fachschaften.</w:t>
            </w:r>
          </w:p>
        </w:tc>
        <w:tc>
          <w:tcPr>
            <w:tcW w:w="5783" w:type="dxa"/>
          </w:tcPr>
          <w:p w14:paraId="78C2AF37" w14:textId="1A1A0BCF" w:rsidR="00C73C5D" w:rsidRPr="00BA361D" w:rsidRDefault="003D28EF" w:rsidP="00584626">
            <w:pPr>
              <w:spacing w:line="276" w:lineRule="auto"/>
              <w:jc w:val="both"/>
              <w:rPr>
                <w:rFonts w:ascii="Calibri" w:eastAsia="Times New Roman" w:hAnsi="Calibri" w:cs="Calibri"/>
                <w:color w:val="000000"/>
                <w:lang w:eastAsia="de-DE"/>
              </w:rPr>
            </w:pPr>
            <w:r>
              <w:rPr>
                <w:rFonts w:ascii="Calibri" w:eastAsia="Times New Roman" w:hAnsi="Calibri" w:cs="Calibri"/>
                <w:color w:val="000000"/>
                <w:lang w:eastAsia="de-DE"/>
              </w:rPr>
              <w:t xml:space="preserve">Die Lehrkräfte verpflichten sich mit der Überlassungsvereinbarung für ein </w:t>
            </w:r>
            <w:proofErr w:type="spellStart"/>
            <w:r>
              <w:rPr>
                <w:rFonts w:ascii="Calibri" w:eastAsia="Times New Roman" w:hAnsi="Calibri" w:cs="Calibri"/>
                <w:color w:val="000000"/>
                <w:lang w:eastAsia="de-DE"/>
              </w:rPr>
              <w:t>Diensttablet</w:t>
            </w:r>
            <w:proofErr w:type="spellEnd"/>
            <w:r>
              <w:rPr>
                <w:rFonts w:ascii="Calibri" w:eastAsia="Times New Roman" w:hAnsi="Calibri" w:cs="Calibri"/>
                <w:color w:val="000000"/>
                <w:lang w:eastAsia="de-DE"/>
              </w:rPr>
              <w:t xml:space="preserve"> dazu, pro Jahr</w:t>
            </w:r>
            <w:r w:rsidR="005E52F1">
              <w:rPr>
                <w:rFonts w:ascii="Calibri" w:eastAsia="Times New Roman" w:hAnsi="Calibri" w:cs="Calibri"/>
                <w:color w:val="000000"/>
                <w:lang w:eastAsia="de-DE"/>
              </w:rPr>
              <w:t xml:space="preserve"> 3 Fortbildungen im Themenbereich</w:t>
            </w:r>
            <w:r w:rsidR="000E7E16">
              <w:rPr>
                <w:rFonts w:ascii="Calibri" w:eastAsia="Times New Roman" w:hAnsi="Calibri" w:cs="Calibri"/>
                <w:color w:val="000000"/>
                <w:lang w:eastAsia="de-DE"/>
              </w:rPr>
              <w:t xml:space="preserve"> pädagogischer</w:t>
            </w:r>
            <w:r w:rsidR="005E52F1">
              <w:rPr>
                <w:rFonts w:ascii="Calibri" w:eastAsia="Times New Roman" w:hAnsi="Calibri" w:cs="Calibri"/>
                <w:color w:val="000000"/>
                <w:lang w:eastAsia="de-DE"/>
              </w:rPr>
              <w:t xml:space="preserve"> Medieneinsatz</w:t>
            </w:r>
            <w:r w:rsidR="000E7E16">
              <w:rPr>
                <w:rFonts w:ascii="Calibri" w:eastAsia="Times New Roman" w:hAnsi="Calibri" w:cs="Calibri"/>
                <w:color w:val="000000"/>
                <w:lang w:eastAsia="de-DE"/>
              </w:rPr>
              <w:t xml:space="preserve"> zu besuchen. Dies können sowohl Webinare</w:t>
            </w:r>
            <w:r w:rsidR="000B4F8B">
              <w:rPr>
                <w:rFonts w:ascii="Calibri" w:eastAsia="Times New Roman" w:hAnsi="Calibri" w:cs="Calibri"/>
                <w:color w:val="000000"/>
                <w:lang w:eastAsia="de-DE"/>
              </w:rPr>
              <w:t xml:space="preserve"> und</w:t>
            </w:r>
            <w:r w:rsidR="000E7E16">
              <w:rPr>
                <w:rFonts w:ascii="Calibri" w:eastAsia="Times New Roman" w:hAnsi="Calibri" w:cs="Calibri"/>
                <w:color w:val="000000"/>
                <w:lang w:eastAsia="de-DE"/>
              </w:rPr>
              <w:t xml:space="preserve"> MOOCs, als auch </w:t>
            </w:r>
            <w:r w:rsidR="000B4F8B">
              <w:rPr>
                <w:rFonts w:ascii="Calibri" w:eastAsia="Times New Roman" w:hAnsi="Calibri" w:cs="Calibri"/>
                <w:color w:val="000000"/>
                <w:lang w:eastAsia="de-DE"/>
              </w:rPr>
              <w:t xml:space="preserve">Präsenzveranstaltungen wie die Seminare der offiziellen Lehrerfortbildung oder </w:t>
            </w:r>
            <w:proofErr w:type="spellStart"/>
            <w:r w:rsidR="000B4F8B">
              <w:rPr>
                <w:rFonts w:ascii="Calibri" w:eastAsia="Times New Roman" w:hAnsi="Calibri" w:cs="Calibri"/>
                <w:color w:val="000000"/>
                <w:lang w:eastAsia="de-DE"/>
              </w:rPr>
              <w:t>Barcamps</w:t>
            </w:r>
            <w:proofErr w:type="spellEnd"/>
            <w:r w:rsidR="000B4F8B">
              <w:rPr>
                <w:rFonts w:ascii="Calibri" w:eastAsia="Times New Roman" w:hAnsi="Calibri" w:cs="Calibri"/>
                <w:color w:val="000000"/>
                <w:lang w:eastAsia="de-DE"/>
              </w:rPr>
              <w:t xml:space="preserve"> sein. </w:t>
            </w:r>
            <w:r w:rsidR="005D1A8E">
              <w:rPr>
                <w:rFonts w:ascii="Calibri" w:eastAsia="Times New Roman" w:hAnsi="Calibri" w:cs="Calibri"/>
                <w:color w:val="000000"/>
                <w:lang w:eastAsia="de-DE"/>
              </w:rPr>
              <w:t>Im Anschluss an die Fortbildungen wird sie kurz reflektiert</w:t>
            </w:r>
            <w:r w:rsidR="0040541B">
              <w:rPr>
                <w:rFonts w:ascii="Calibri" w:eastAsia="Times New Roman" w:hAnsi="Calibri" w:cs="Calibri"/>
                <w:color w:val="000000"/>
                <w:lang w:eastAsia="de-DE"/>
              </w:rPr>
              <w:t xml:space="preserve"> (als einseitiger Text, in einer 5-minütigen Audio- oder Videoaufnahme …) und den Kollegen bzw. den </w:t>
            </w:r>
            <w:r w:rsidR="0040541B">
              <w:rPr>
                <w:rFonts w:ascii="Calibri" w:eastAsia="Times New Roman" w:hAnsi="Calibri" w:cs="Calibri"/>
                <w:color w:val="000000"/>
                <w:lang w:eastAsia="de-DE"/>
              </w:rPr>
              <w:lastRenderedPageBreak/>
              <w:t xml:space="preserve">Fachschaften nachhaltig zur Verfügung gestellt. </w:t>
            </w:r>
            <w:r w:rsidR="00E45520">
              <w:rPr>
                <w:rFonts w:ascii="Calibri" w:eastAsia="Times New Roman" w:hAnsi="Calibri" w:cs="Calibri"/>
                <w:color w:val="000000"/>
                <w:lang w:eastAsia="de-DE"/>
              </w:rPr>
              <w:t>Teilnahmebescheinigungen können persönlich verwaltet werden. Es soll um die pädagogischen Inhalte und Potenziale gehen.</w:t>
            </w:r>
          </w:p>
        </w:tc>
      </w:tr>
    </w:tbl>
    <w:p w14:paraId="53ED7CA4" w14:textId="77777777" w:rsidR="00321E27" w:rsidRDefault="00321E27" w:rsidP="00584626">
      <w:pPr>
        <w:spacing w:line="276" w:lineRule="auto"/>
        <w:ind w:left="-851"/>
        <w:jc w:val="both"/>
        <w:rPr>
          <w:b/>
          <w:sz w:val="28"/>
        </w:rPr>
      </w:pPr>
    </w:p>
    <w:p w14:paraId="480D5FB1" w14:textId="77777777" w:rsidR="00321E27" w:rsidRDefault="00321E27">
      <w:pPr>
        <w:rPr>
          <w:b/>
          <w:sz w:val="28"/>
        </w:rPr>
      </w:pPr>
      <w:r>
        <w:rPr>
          <w:b/>
          <w:sz w:val="28"/>
        </w:rPr>
        <w:br w:type="page"/>
      </w:r>
    </w:p>
    <w:p w14:paraId="27E9C3F5" w14:textId="58D39524" w:rsidR="00BA361D" w:rsidRPr="00BA361D" w:rsidRDefault="00BA361D" w:rsidP="00584626">
      <w:pPr>
        <w:spacing w:line="276" w:lineRule="auto"/>
        <w:ind w:left="-851"/>
        <w:jc w:val="both"/>
        <w:rPr>
          <w:b/>
          <w:sz w:val="28"/>
        </w:rPr>
      </w:pPr>
      <w:bookmarkStart w:id="1" w:name="_GoBack"/>
      <w:bookmarkEnd w:id="1"/>
      <w:r w:rsidRPr="00BA361D">
        <w:rPr>
          <w:b/>
          <w:sz w:val="28"/>
        </w:rPr>
        <w:lastRenderedPageBreak/>
        <w:t>Organisationsentwicklung</w:t>
      </w:r>
      <w:r w:rsidR="002F5061">
        <w:rPr>
          <w:b/>
          <w:sz w:val="28"/>
        </w:rPr>
        <w:t xml:space="preserve"> (abgestimmt auf </w:t>
      </w:r>
      <w:r w:rsidR="00AC778B">
        <w:rPr>
          <w:b/>
          <w:sz w:val="28"/>
        </w:rPr>
        <w:t>die drei vorherigen Entwicklungsaspekte)</w:t>
      </w:r>
    </w:p>
    <w:tbl>
      <w:tblPr>
        <w:tblStyle w:val="Tabellenraster"/>
        <w:tblW w:w="5945" w:type="pct"/>
        <w:tblInd w:w="-856" w:type="dxa"/>
        <w:tblLook w:val="04A0" w:firstRow="1" w:lastRow="0" w:firstColumn="1" w:lastColumn="0" w:noHBand="0" w:noVBand="1"/>
      </w:tblPr>
      <w:tblGrid>
        <w:gridCol w:w="4842"/>
        <w:gridCol w:w="5933"/>
      </w:tblGrid>
      <w:tr w:rsidR="00BA361D" w14:paraId="2DBE8E74" w14:textId="77777777" w:rsidTr="00353077">
        <w:tc>
          <w:tcPr>
            <w:tcW w:w="2247" w:type="pct"/>
          </w:tcPr>
          <w:p w14:paraId="602658AE" w14:textId="77777777" w:rsidR="00BA361D" w:rsidRPr="00B02E29" w:rsidRDefault="00BA361D" w:rsidP="00584626">
            <w:pPr>
              <w:spacing w:line="276" w:lineRule="auto"/>
              <w:jc w:val="both"/>
              <w:rPr>
                <w:b/>
              </w:rPr>
            </w:pPr>
            <w:r w:rsidRPr="00B02E29">
              <w:rPr>
                <w:b/>
              </w:rPr>
              <w:t>Ziel</w:t>
            </w:r>
          </w:p>
        </w:tc>
        <w:tc>
          <w:tcPr>
            <w:tcW w:w="2753" w:type="pct"/>
          </w:tcPr>
          <w:p w14:paraId="0E1CE6F7" w14:textId="7C4C198F" w:rsidR="00BA361D" w:rsidRPr="00B02E29" w:rsidRDefault="00BA361D" w:rsidP="00584626">
            <w:pPr>
              <w:spacing w:line="276" w:lineRule="auto"/>
              <w:jc w:val="both"/>
              <w:rPr>
                <w:b/>
              </w:rPr>
            </w:pPr>
            <w:r>
              <w:rPr>
                <w:b/>
              </w:rPr>
              <w:t>Maßnahmen</w:t>
            </w:r>
          </w:p>
        </w:tc>
      </w:tr>
      <w:tr w:rsidR="00BA361D" w14:paraId="5A1BBC02" w14:textId="77777777" w:rsidTr="00353077">
        <w:tc>
          <w:tcPr>
            <w:tcW w:w="2247" w:type="pct"/>
          </w:tcPr>
          <w:p w14:paraId="7D355DEC" w14:textId="19631AA2" w:rsidR="00BA361D" w:rsidRDefault="00BA361D" w:rsidP="00584626">
            <w:pPr>
              <w:spacing w:line="276" w:lineRule="auto"/>
              <w:jc w:val="both"/>
            </w:pPr>
            <w:r w:rsidRPr="00F02FD6">
              <w:rPr>
                <w:b/>
              </w:rPr>
              <w:t xml:space="preserve">Die am Schulleben </w:t>
            </w:r>
            <w:r w:rsidR="00F02FD6">
              <w:rPr>
                <w:b/>
              </w:rPr>
              <w:t>B</w:t>
            </w:r>
            <w:r w:rsidRPr="00F02FD6">
              <w:rPr>
                <w:b/>
              </w:rPr>
              <w:t>eteiligten</w:t>
            </w:r>
            <w:r>
              <w:t xml:space="preserve"> nutzen digitale Medien zur Kommunikation. </w:t>
            </w:r>
          </w:p>
        </w:tc>
        <w:tc>
          <w:tcPr>
            <w:tcW w:w="2753" w:type="pct"/>
          </w:tcPr>
          <w:p w14:paraId="62E0C782" w14:textId="0620CE5C" w:rsidR="00BA361D" w:rsidRDefault="00BA361D" w:rsidP="00584626">
            <w:pPr>
              <w:spacing w:line="276" w:lineRule="auto"/>
              <w:jc w:val="both"/>
            </w:pPr>
            <w:r>
              <w:t xml:space="preserve">Die Schule legt dienstliche Mailadresse für alle </w:t>
            </w:r>
            <w:proofErr w:type="spellStart"/>
            <w:r>
              <w:t>KollegInnen</w:t>
            </w:r>
            <w:proofErr w:type="spellEnd"/>
            <w:r>
              <w:t xml:space="preserve"> an. Die </w:t>
            </w:r>
            <w:proofErr w:type="spellStart"/>
            <w:r>
              <w:t>LehrerInnen</w:t>
            </w:r>
            <w:proofErr w:type="spellEnd"/>
            <w:r>
              <w:t xml:space="preserve"> nutzen diese zur dienstlichen Kommunikation.</w:t>
            </w:r>
          </w:p>
        </w:tc>
      </w:tr>
      <w:tr w:rsidR="00BA361D" w14:paraId="229F8C0C" w14:textId="77777777" w:rsidTr="00353077">
        <w:tc>
          <w:tcPr>
            <w:tcW w:w="2247" w:type="pct"/>
          </w:tcPr>
          <w:p w14:paraId="6195A589" w14:textId="20FD2840" w:rsidR="00BA361D" w:rsidRDefault="00BA361D" w:rsidP="00584626">
            <w:pPr>
              <w:spacing w:line="276" w:lineRule="auto"/>
              <w:jc w:val="both"/>
            </w:pPr>
            <w:r>
              <w:t xml:space="preserve">Die Schule organisiert die </w:t>
            </w:r>
            <w:r w:rsidRPr="00F02FD6">
              <w:rPr>
                <w:b/>
              </w:rPr>
              <w:t>Nutzung</w:t>
            </w:r>
            <w:r>
              <w:t xml:space="preserve"> von </w:t>
            </w:r>
            <w:r w:rsidRPr="00F02FD6">
              <w:rPr>
                <w:b/>
              </w:rPr>
              <w:t>Computerräumen</w:t>
            </w:r>
            <w:r>
              <w:t xml:space="preserve"> und </w:t>
            </w:r>
            <w:r w:rsidRPr="00F02FD6">
              <w:rPr>
                <w:b/>
              </w:rPr>
              <w:t>Geräten</w:t>
            </w:r>
            <w:r>
              <w:t>.</w:t>
            </w:r>
          </w:p>
        </w:tc>
        <w:tc>
          <w:tcPr>
            <w:tcW w:w="2753" w:type="pct"/>
          </w:tcPr>
          <w:p w14:paraId="54B6111A" w14:textId="0387A670" w:rsidR="00BA361D" w:rsidRDefault="00BA361D" w:rsidP="00584626">
            <w:pPr>
              <w:spacing w:line="276" w:lineRule="auto"/>
              <w:jc w:val="both"/>
            </w:pPr>
            <w:r>
              <w:t>Die Schule etabliert ein digitales Raum- und Gerätebuchungssystem.</w:t>
            </w:r>
          </w:p>
        </w:tc>
      </w:tr>
      <w:tr w:rsidR="00BA361D" w14:paraId="2EDD3348" w14:textId="77777777" w:rsidTr="00353077">
        <w:tc>
          <w:tcPr>
            <w:tcW w:w="2247" w:type="pct"/>
          </w:tcPr>
          <w:p w14:paraId="089A9C7D" w14:textId="7E837359" w:rsidR="00BA361D" w:rsidRDefault="00BA361D" w:rsidP="00584626">
            <w:pPr>
              <w:spacing w:line="276" w:lineRule="auto"/>
              <w:jc w:val="both"/>
            </w:pPr>
            <w:r>
              <w:t xml:space="preserve">Die Schule </w:t>
            </w:r>
            <w:r w:rsidR="00A64241">
              <w:t xml:space="preserve">setzt einen Schwerpunkt im Thema </w:t>
            </w:r>
            <w:r w:rsidR="00A64241" w:rsidRPr="00F02FD6">
              <w:rPr>
                <w:b/>
              </w:rPr>
              <w:t>Jugendmedienschutz</w:t>
            </w:r>
            <w:r w:rsidR="00A64241">
              <w:t>.</w:t>
            </w:r>
          </w:p>
        </w:tc>
        <w:tc>
          <w:tcPr>
            <w:tcW w:w="2753" w:type="pct"/>
          </w:tcPr>
          <w:p w14:paraId="07FF0A18" w14:textId="70C54B36" w:rsidR="00BA361D" w:rsidRDefault="00BA361D" w:rsidP="00584626">
            <w:pPr>
              <w:spacing w:line="276" w:lineRule="auto"/>
              <w:jc w:val="both"/>
            </w:pPr>
            <w:r>
              <w:t>An der Schule finden regelmäßig Veranstaltungen zum Thema Jugendmedienschutz statt. Die Zielgruppe können Schüler, Eltern oder Lehrer sein.</w:t>
            </w:r>
          </w:p>
        </w:tc>
      </w:tr>
      <w:tr w:rsidR="00BA361D" w14:paraId="0FB52233" w14:textId="77777777" w:rsidTr="00353077">
        <w:tc>
          <w:tcPr>
            <w:tcW w:w="2247" w:type="pct"/>
          </w:tcPr>
          <w:p w14:paraId="1A60E08E" w14:textId="703BE2DD" w:rsidR="00BA361D" w:rsidRDefault="00BA361D" w:rsidP="00584626">
            <w:pPr>
              <w:spacing w:line="276" w:lineRule="auto"/>
              <w:jc w:val="both"/>
            </w:pPr>
            <w:r>
              <w:t xml:space="preserve">Die Lehrer sammeln </w:t>
            </w:r>
            <w:r w:rsidRPr="00F02FD6">
              <w:rPr>
                <w:b/>
              </w:rPr>
              <w:t>Klassenarbeiten</w:t>
            </w:r>
            <w:r>
              <w:t xml:space="preserve"> (und andere Dokumente) digital an einem geeigneten Ort. </w:t>
            </w:r>
          </w:p>
        </w:tc>
        <w:tc>
          <w:tcPr>
            <w:tcW w:w="2753" w:type="pct"/>
          </w:tcPr>
          <w:p w14:paraId="622B0E5F" w14:textId="351FA725" w:rsidR="00BA361D" w:rsidRDefault="00BA361D" w:rsidP="00584626">
            <w:pPr>
              <w:spacing w:line="276" w:lineRule="auto"/>
              <w:jc w:val="both"/>
            </w:pPr>
            <w:r>
              <w:t>Die Schule etabliert eine Cloud (bzw. ein Netzlaufwerk) und legt darin eine funktionale Struktur an.</w:t>
            </w:r>
          </w:p>
        </w:tc>
      </w:tr>
      <w:tr w:rsidR="00BA361D" w14:paraId="7EB19D25" w14:textId="77777777" w:rsidTr="00353077">
        <w:tc>
          <w:tcPr>
            <w:tcW w:w="2247" w:type="pct"/>
          </w:tcPr>
          <w:p w14:paraId="24E2FD97" w14:textId="13472FD8" w:rsidR="00BA361D" w:rsidRDefault="00BA361D" w:rsidP="00584626">
            <w:pPr>
              <w:spacing w:line="276" w:lineRule="auto"/>
              <w:jc w:val="both"/>
            </w:pPr>
            <w:r>
              <w:t xml:space="preserve">Die Schule entwickelt ein </w:t>
            </w:r>
            <w:r w:rsidRPr="00F02FD6">
              <w:rPr>
                <w:b/>
              </w:rPr>
              <w:t>Mediencurriculum</w:t>
            </w:r>
            <w:r>
              <w:t xml:space="preserve"> und bezieht sich dabei auf die Leitperspektive Medienbildung im Bildungsplan sowie auf die von der KMK formulierten Kompetenzen.</w:t>
            </w:r>
          </w:p>
        </w:tc>
        <w:tc>
          <w:tcPr>
            <w:tcW w:w="2753" w:type="pct"/>
          </w:tcPr>
          <w:p w14:paraId="670DF177" w14:textId="2D0872EB" w:rsidR="00BA361D" w:rsidRDefault="00BA361D" w:rsidP="00584626">
            <w:pPr>
              <w:spacing w:line="276" w:lineRule="auto"/>
              <w:jc w:val="both"/>
            </w:pPr>
            <w:r>
              <w:t xml:space="preserve">Arbeitsgruppen bilden die Kompetenzen der Leitperspektive Medienbildung in einem für alle </w:t>
            </w:r>
            <w:proofErr w:type="spellStart"/>
            <w:r>
              <w:t>LehrerInnen</w:t>
            </w:r>
            <w:proofErr w:type="spellEnd"/>
            <w:r>
              <w:t xml:space="preserve"> zugänglichen Dokument ab. Die Umsetzung wird verbindlich geregelt.</w:t>
            </w:r>
          </w:p>
        </w:tc>
      </w:tr>
      <w:tr w:rsidR="00BA361D" w14:paraId="51725BC7" w14:textId="77777777" w:rsidTr="00353077">
        <w:tc>
          <w:tcPr>
            <w:tcW w:w="2247" w:type="pct"/>
          </w:tcPr>
          <w:p w14:paraId="6DCA7C4E" w14:textId="77777777" w:rsidR="00BA361D" w:rsidRDefault="00BA361D" w:rsidP="00584626">
            <w:pPr>
              <w:spacing w:line="276" w:lineRule="auto"/>
              <w:jc w:val="both"/>
            </w:pPr>
            <w:r w:rsidRPr="00F02FD6">
              <w:rPr>
                <w:b/>
              </w:rPr>
              <w:t>Wesentliche Prozesse des Schullebens</w:t>
            </w:r>
            <w:r>
              <w:t xml:space="preserve"> (Terminkalender, Planung von Klassenarbeiten, Krankmeldungen, Klassenbuch, Elternbriefe, Ablage von Protokollen, Stundenplan, Vertretungsplan) sind </w:t>
            </w:r>
            <w:r w:rsidRPr="00F02FD6">
              <w:rPr>
                <w:b/>
              </w:rPr>
              <w:t>digitalisiert</w:t>
            </w:r>
            <w:r>
              <w:t>.</w:t>
            </w:r>
          </w:p>
        </w:tc>
        <w:tc>
          <w:tcPr>
            <w:tcW w:w="2753" w:type="pct"/>
          </w:tcPr>
          <w:p w14:paraId="0C949096" w14:textId="3388B941" w:rsidR="00BA361D" w:rsidRDefault="00BA361D" w:rsidP="00584626">
            <w:pPr>
              <w:spacing w:line="276" w:lineRule="auto"/>
              <w:jc w:val="both"/>
            </w:pPr>
            <w:r>
              <w:t xml:space="preserve">Die Schule installiert / etabliert eine Plattform (wie z.B. Schulmanager-Online oder </w:t>
            </w:r>
            <w:proofErr w:type="spellStart"/>
            <w:r>
              <w:t>WebUntis</w:t>
            </w:r>
            <w:proofErr w:type="spellEnd"/>
            <w:r>
              <w:t>)</w:t>
            </w:r>
            <w:r w:rsidR="00540673">
              <w:t>.</w:t>
            </w:r>
          </w:p>
        </w:tc>
      </w:tr>
      <w:tr w:rsidR="00BA361D" w14:paraId="2D1C5156" w14:textId="77777777" w:rsidTr="00353077">
        <w:tc>
          <w:tcPr>
            <w:tcW w:w="2247" w:type="pct"/>
          </w:tcPr>
          <w:p w14:paraId="5A7E667D" w14:textId="0526FC1A" w:rsidR="00BA361D" w:rsidRDefault="00BA361D" w:rsidP="00584626">
            <w:pPr>
              <w:spacing w:line="276" w:lineRule="auto"/>
              <w:jc w:val="both"/>
            </w:pPr>
            <w:r>
              <w:t xml:space="preserve">Die Schule nimmt am </w:t>
            </w:r>
            <w:r w:rsidRPr="00F02FD6">
              <w:rPr>
                <w:b/>
              </w:rPr>
              <w:t>SMEP</w:t>
            </w:r>
            <w:r>
              <w:t xml:space="preserve"> (Schüler-Medienmentoren-Programm) teil.</w:t>
            </w:r>
          </w:p>
        </w:tc>
        <w:tc>
          <w:tcPr>
            <w:tcW w:w="2753" w:type="pct"/>
          </w:tcPr>
          <w:p w14:paraId="4F465FA3" w14:textId="0AFCA71F" w:rsidR="00BA361D" w:rsidRDefault="00BA361D" w:rsidP="00584626">
            <w:pPr>
              <w:spacing w:line="276" w:lineRule="auto"/>
              <w:jc w:val="both"/>
            </w:pPr>
            <w:r>
              <w:t xml:space="preserve">Die Schule spricht </w:t>
            </w:r>
            <w:proofErr w:type="spellStart"/>
            <w:r>
              <w:t>SchülerInnen</w:t>
            </w:r>
            <w:proofErr w:type="spellEnd"/>
            <w:r>
              <w:t xml:space="preserve"> für das SMEP-Programm an und leistet die organisatorische Unterstützung für das Programm.</w:t>
            </w:r>
          </w:p>
        </w:tc>
      </w:tr>
      <w:tr w:rsidR="00BA361D" w14:paraId="74BC1EA9" w14:textId="77777777" w:rsidTr="00353077">
        <w:tc>
          <w:tcPr>
            <w:tcW w:w="2247" w:type="pct"/>
          </w:tcPr>
          <w:p w14:paraId="54793FF5" w14:textId="590ECC85" w:rsidR="00BA361D" w:rsidRDefault="00BA361D" w:rsidP="00584626">
            <w:pPr>
              <w:spacing w:line="276" w:lineRule="auto"/>
              <w:jc w:val="both"/>
            </w:pPr>
            <w:r w:rsidRPr="006B0A22">
              <w:t xml:space="preserve">Die Schule schafft </w:t>
            </w:r>
            <w:r w:rsidRPr="00F02FD6">
              <w:rPr>
                <w:b/>
              </w:rPr>
              <w:t>Rechtssicherheit</w:t>
            </w:r>
            <w:r w:rsidRPr="006B0A22">
              <w:t xml:space="preserve"> im Umgang mit Bilder</w:t>
            </w:r>
            <w:r>
              <w:t>n</w:t>
            </w:r>
            <w:r w:rsidRPr="006B0A22">
              <w:t>, Videos und Audiodateien</w:t>
            </w:r>
            <w:r>
              <w:t>.</w:t>
            </w:r>
          </w:p>
        </w:tc>
        <w:tc>
          <w:tcPr>
            <w:tcW w:w="2753" w:type="pct"/>
          </w:tcPr>
          <w:p w14:paraId="14B7FF0D" w14:textId="03B1DC11" w:rsidR="00BA361D" w:rsidRDefault="00BA361D" w:rsidP="00584626">
            <w:pPr>
              <w:spacing w:line="276" w:lineRule="auto"/>
              <w:jc w:val="both"/>
            </w:pPr>
            <w:r>
              <w:rPr>
                <w:rFonts w:ascii="Calibri" w:hAnsi="Calibri" w:cs="Calibri"/>
                <w:color w:val="000000"/>
              </w:rPr>
              <w:t>Im kommenden Schuljahr finden zwei schulinterne Fortbildungsveranstaltungen zum Thema Urheberrecht und Datenschutz statt.</w:t>
            </w:r>
          </w:p>
        </w:tc>
      </w:tr>
      <w:tr w:rsidR="00BA361D" w14:paraId="2A39FE81" w14:textId="77777777" w:rsidTr="00353077">
        <w:tc>
          <w:tcPr>
            <w:tcW w:w="2247" w:type="pct"/>
          </w:tcPr>
          <w:p w14:paraId="1D41DED9" w14:textId="1EB2E192" w:rsidR="00BA361D" w:rsidRDefault="00BA361D" w:rsidP="00584626">
            <w:pPr>
              <w:spacing w:line="276" w:lineRule="auto"/>
              <w:jc w:val="both"/>
            </w:pPr>
            <w:r w:rsidRPr="006B0A22">
              <w:t xml:space="preserve">Die Schule schafft die Voraussetzung für die </w:t>
            </w:r>
            <w:r w:rsidRPr="00F02FD6">
              <w:rPr>
                <w:b/>
              </w:rPr>
              <w:t>Dokumentation</w:t>
            </w:r>
            <w:r w:rsidRPr="006B0A22">
              <w:t xml:space="preserve"> im Hinblick auf die Weiterentwicklung der </w:t>
            </w:r>
            <w:r w:rsidRPr="00F02FD6">
              <w:rPr>
                <w:b/>
              </w:rPr>
              <w:t>Fächerintegration</w:t>
            </w:r>
            <w:r w:rsidRPr="006B0A22">
              <w:t xml:space="preserve"> von </w:t>
            </w:r>
            <w:r w:rsidRPr="00F02FD6">
              <w:rPr>
                <w:b/>
              </w:rPr>
              <w:t>Medienbildung</w:t>
            </w:r>
            <w:r w:rsidRPr="006B0A22">
              <w:t>.</w:t>
            </w:r>
          </w:p>
        </w:tc>
        <w:tc>
          <w:tcPr>
            <w:tcW w:w="2753" w:type="pct"/>
          </w:tcPr>
          <w:p w14:paraId="78FDBFDD" w14:textId="35869958" w:rsidR="00BA361D" w:rsidRDefault="00BA361D" w:rsidP="00584626">
            <w:pPr>
              <w:spacing w:line="276" w:lineRule="auto"/>
              <w:jc w:val="both"/>
            </w:pPr>
            <w:r>
              <w:rPr>
                <w:rFonts w:ascii="Calibri" w:hAnsi="Calibri" w:cs="Calibri"/>
                <w:color w:val="000000"/>
              </w:rPr>
              <w:t>Auf einem Netzlaufspeicher der Schule wir</w:t>
            </w:r>
            <w:r w:rsidR="00540673">
              <w:rPr>
                <w:rFonts w:ascii="Calibri" w:hAnsi="Calibri" w:cs="Calibri"/>
                <w:color w:val="000000"/>
              </w:rPr>
              <w:t xml:space="preserve">d ein </w:t>
            </w:r>
            <w:proofErr w:type="spellStart"/>
            <w:r w:rsidR="00540673">
              <w:rPr>
                <w:rFonts w:ascii="Calibri" w:hAnsi="Calibri" w:cs="Calibri"/>
                <w:color w:val="000000"/>
              </w:rPr>
              <w:t>ePortfolio</w:t>
            </w:r>
            <w:proofErr w:type="spellEnd"/>
            <w:r w:rsidR="00540673">
              <w:rPr>
                <w:rFonts w:ascii="Calibri" w:hAnsi="Calibri" w:cs="Calibri"/>
                <w:color w:val="000000"/>
              </w:rPr>
              <w:t xml:space="preserve"> geschaffen, in</w:t>
            </w:r>
            <w:r>
              <w:rPr>
                <w:rFonts w:ascii="Calibri" w:hAnsi="Calibri" w:cs="Calibri"/>
                <w:color w:val="000000"/>
              </w:rPr>
              <w:t xml:space="preserve">dem Umsetzungsbeispiele in allen Fächern abgelegt werden. </w:t>
            </w:r>
          </w:p>
        </w:tc>
      </w:tr>
      <w:tr w:rsidR="00BA361D" w14:paraId="140046FD" w14:textId="77777777" w:rsidTr="00353077">
        <w:trPr>
          <w:trHeight w:val="283"/>
        </w:trPr>
        <w:tc>
          <w:tcPr>
            <w:tcW w:w="2247" w:type="pct"/>
          </w:tcPr>
          <w:p w14:paraId="4245AB00" w14:textId="24DAF02A" w:rsidR="00BA361D" w:rsidRDefault="00BA361D" w:rsidP="00584626">
            <w:pPr>
              <w:spacing w:line="276" w:lineRule="auto"/>
              <w:jc w:val="both"/>
            </w:pPr>
            <w:r w:rsidRPr="006B0A22">
              <w:t xml:space="preserve">Die Schule entwickelt </w:t>
            </w:r>
            <w:r w:rsidRPr="00F02FD6">
              <w:rPr>
                <w:b/>
              </w:rPr>
              <w:t>verbindliche</w:t>
            </w:r>
            <w:r w:rsidRPr="006B0A22">
              <w:t xml:space="preserve"> </w:t>
            </w:r>
            <w:r w:rsidRPr="00F02FD6">
              <w:rPr>
                <w:b/>
              </w:rPr>
              <w:t>Rahmenrichtlinien</w:t>
            </w:r>
            <w:r w:rsidRPr="006B0A22">
              <w:t xml:space="preserve"> für den Umgang mit digitalen Medien</w:t>
            </w:r>
            <w:r>
              <w:t>.</w:t>
            </w:r>
          </w:p>
        </w:tc>
        <w:tc>
          <w:tcPr>
            <w:tcW w:w="2753" w:type="pct"/>
          </w:tcPr>
          <w:p w14:paraId="25B2B6DA" w14:textId="401DA67C" w:rsidR="00BA361D" w:rsidRPr="00540673" w:rsidRDefault="00BA361D" w:rsidP="00584626">
            <w:pPr>
              <w:spacing w:line="276" w:lineRule="auto"/>
              <w:jc w:val="both"/>
              <w:rPr>
                <w:rFonts w:ascii="Calibri" w:hAnsi="Calibri" w:cs="Calibri"/>
                <w:color w:val="000000"/>
              </w:rPr>
            </w:pPr>
            <w:r>
              <w:rPr>
                <w:rFonts w:ascii="Calibri" w:hAnsi="Calibri" w:cs="Calibri"/>
                <w:color w:val="000000"/>
              </w:rPr>
              <w:t>Im kommenden Schuljahr wird eine Nutzerordnung für die Nutzer der iPads erstellt und in allen Klassen besprochen</w:t>
            </w:r>
            <w:r w:rsidR="00540673">
              <w:rPr>
                <w:rFonts w:ascii="Calibri" w:hAnsi="Calibri" w:cs="Calibri"/>
                <w:color w:val="000000"/>
              </w:rPr>
              <w:t xml:space="preserve"> und dann abgeschlossen</w:t>
            </w:r>
            <w:r>
              <w:rPr>
                <w:rFonts w:ascii="Calibri" w:hAnsi="Calibri" w:cs="Calibri"/>
                <w:color w:val="000000"/>
              </w:rPr>
              <w:t>. Ebenso für den Computerraum.</w:t>
            </w:r>
          </w:p>
        </w:tc>
      </w:tr>
      <w:tr w:rsidR="00BA361D" w14:paraId="2B11CC77" w14:textId="77777777" w:rsidTr="00353077">
        <w:tc>
          <w:tcPr>
            <w:tcW w:w="2247" w:type="pct"/>
          </w:tcPr>
          <w:p w14:paraId="76318CE1" w14:textId="78F88668" w:rsidR="00BA361D" w:rsidRDefault="00BA361D" w:rsidP="00584626">
            <w:pPr>
              <w:spacing w:line="276" w:lineRule="auto"/>
              <w:jc w:val="both"/>
            </w:pPr>
            <w:r w:rsidRPr="006B0A22">
              <w:t xml:space="preserve">Die Schule sorgt im kommenden Schuljahr für die </w:t>
            </w:r>
            <w:r w:rsidRPr="00F02FD6">
              <w:rPr>
                <w:b/>
              </w:rPr>
              <w:t>Einhaltung der Benutzerordnung im Computerraum</w:t>
            </w:r>
            <w:r w:rsidRPr="006B0A22">
              <w:t xml:space="preserve"> und im Umgang mit Tablets.</w:t>
            </w:r>
          </w:p>
        </w:tc>
        <w:tc>
          <w:tcPr>
            <w:tcW w:w="2753" w:type="pct"/>
          </w:tcPr>
          <w:p w14:paraId="0CA328DF" w14:textId="53E6A8C0" w:rsidR="00BA361D" w:rsidRDefault="00BA361D" w:rsidP="00584626">
            <w:pPr>
              <w:spacing w:line="276" w:lineRule="auto"/>
              <w:jc w:val="both"/>
            </w:pPr>
            <w:r>
              <w:rPr>
                <w:rFonts w:ascii="Calibri" w:hAnsi="Calibri" w:cs="Calibri"/>
                <w:color w:val="000000"/>
              </w:rPr>
              <w:t>Die Schule benennt zwei verantwortliche Lehrkräfte, die für die Einhaltung der Benutzerordnung verantwortlich sind. Im Jahr werden zwei Informationsveranstaltungen für Schüler aller Klassen durchgeführt.</w:t>
            </w:r>
          </w:p>
        </w:tc>
      </w:tr>
      <w:tr w:rsidR="00BA361D" w14:paraId="233B8DE8" w14:textId="77777777" w:rsidTr="00353077">
        <w:tc>
          <w:tcPr>
            <w:tcW w:w="2247" w:type="pct"/>
          </w:tcPr>
          <w:p w14:paraId="60F96710" w14:textId="52E4AF9B" w:rsidR="00BA361D" w:rsidRDefault="00BA361D" w:rsidP="00584626">
            <w:pPr>
              <w:spacing w:line="276" w:lineRule="auto"/>
              <w:jc w:val="both"/>
            </w:pPr>
            <w:r>
              <w:rPr>
                <w:rFonts w:ascii="Calibri" w:hAnsi="Calibri" w:cs="Calibri"/>
                <w:color w:val="000000"/>
              </w:rPr>
              <w:t xml:space="preserve">Die Schule schafft </w:t>
            </w:r>
            <w:r w:rsidRPr="00F02FD6">
              <w:rPr>
                <w:rFonts w:ascii="Calibri" w:hAnsi="Calibri" w:cs="Calibri"/>
                <w:b/>
                <w:color w:val="000000"/>
              </w:rPr>
              <w:t>Verbindlichkeit und Transparenz</w:t>
            </w:r>
            <w:r>
              <w:rPr>
                <w:rFonts w:ascii="Calibri" w:hAnsi="Calibri" w:cs="Calibri"/>
                <w:color w:val="000000"/>
              </w:rPr>
              <w:t xml:space="preserve"> zum Thema </w:t>
            </w:r>
            <w:r w:rsidRPr="00F02FD6">
              <w:rPr>
                <w:rFonts w:ascii="Calibri" w:hAnsi="Calibri" w:cs="Calibri"/>
                <w:b/>
                <w:color w:val="000000"/>
              </w:rPr>
              <w:t>Medienbildung</w:t>
            </w:r>
            <w:r>
              <w:rPr>
                <w:rFonts w:ascii="Calibri" w:hAnsi="Calibri" w:cs="Calibri"/>
                <w:color w:val="000000"/>
              </w:rPr>
              <w:t>.</w:t>
            </w:r>
          </w:p>
        </w:tc>
        <w:tc>
          <w:tcPr>
            <w:tcW w:w="2753" w:type="pct"/>
          </w:tcPr>
          <w:p w14:paraId="0DD125BF" w14:textId="50FB245C" w:rsidR="00BA361D" w:rsidRDefault="00BA361D" w:rsidP="00584626">
            <w:pPr>
              <w:spacing w:line="276" w:lineRule="auto"/>
              <w:jc w:val="both"/>
            </w:pPr>
            <w:r>
              <w:rPr>
                <w:rFonts w:ascii="Calibri" w:hAnsi="Calibri" w:cs="Calibri"/>
                <w:color w:val="000000"/>
              </w:rPr>
              <w:t xml:space="preserve">Das Medienteam der Schule stellt alle wesentlichen Punkte zum Thema Medienbildung in einem </w:t>
            </w:r>
            <w:proofErr w:type="spellStart"/>
            <w:r>
              <w:rPr>
                <w:rFonts w:ascii="Calibri" w:hAnsi="Calibri" w:cs="Calibri"/>
                <w:color w:val="000000"/>
              </w:rPr>
              <w:t>ePortfolio</w:t>
            </w:r>
            <w:proofErr w:type="spellEnd"/>
            <w:r>
              <w:rPr>
                <w:rFonts w:ascii="Calibri" w:hAnsi="Calibri" w:cs="Calibri"/>
                <w:color w:val="000000"/>
              </w:rPr>
              <w:t xml:space="preserve"> zusammen, das dem Kollegium </w:t>
            </w:r>
            <w:r w:rsidR="00F008BE">
              <w:rPr>
                <w:rFonts w:ascii="Calibri" w:hAnsi="Calibri" w:cs="Calibri"/>
                <w:color w:val="000000"/>
              </w:rPr>
              <w:t>–</w:t>
            </w:r>
            <w:r>
              <w:rPr>
                <w:rFonts w:ascii="Calibri" w:hAnsi="Calibri" w:cs="Calibri"/>
                <w:color w:val="000000"/>
              </w:rPr>
              <w:t xml:space="preserve"> insbesondere aber neuen </w:t>
            </w:r>
            <w:proofErr w:type="spellStart"/>
            <w:r>
              <w:rPr>
                <w:rFonts w:ascii="Calibri" w:hAnsi="Calibri" w:cs="Calibri"/>
                <w:color w:val="000000"/>
              </w:rPr>
              <w:t>KollegInnen</w:t>
            </w:r>
            <w:proofErr w:type="spellEnd"/>
            <w:r>
              <w:rPr>
                <w:rFonts w:ascii="Calibri" w:hAnsi="Calibri" w:cs="Calibri"/>
                <w:color w:val="000000"/>
              </w:rPr>
              <w:t xml:space="preserve"> </w:t>
            </w:r>
            <w:r w:rsidR="00F008BE">
              <w:rPr>
                <w:rFonts w:ascii="Calibri" w:hAnsi="Calibri" w:cs="Calibri"/>
                <w:color w:val="000000"/>
              </w:rPr>
              <w:t>–</w:t>
            </w:r>
            <w:r>
              <w:rPr>
                <w:rFonts w:ascii="Calibri" w:hAnsi="Calibri" w:cs="Calibri"/>
                <w:color w:val="000000"/>
              </w:rPr>
              <w:t xml:space="preserve"> zur Verfügung gestellt wird. </w:t>
            </w:r>
          </w:p>
        </w:tc>
      </w:tr>
      <w:tr w:rsidR="00F008BE" w14:paraId="57266349" w14:textId="77777777" w:rsidTr="00353077">
        <w:tc>
          <w:tcPr>
            <w:tcW w:w="2247" w:type="pct"/>
          </w:tcPr>
          <w:p w14:paraId="1C80CAAB" w14:textId="06BF93C3" w:rsidR="00F008BE" w:rsidRDefault="00F008BE" w:rsidP="00584626">
            <w:pPr>
              <w:spacing w:line="276" w:lineRule="auto"/>
              <w:jc w:val="both"/>
              <w:rPr>
                <w:rFonts w:ascii="Calibri" w:hAnsi="Calibri" w:cs="Calibri"/>
                <w:color w:val="000000"/>
              </w:rPr>
            </w:pPr>
            <w:r>
              <w:rPr>
                <w:rFonts w:ascii="Calibri" w:hAnsi="Calibri" w:cs="Calibri"/>
                <w:color w:val="000000"/>
              </w:rPr>
              <w:t xml:space="preserve">Die Schule bleibt in </w:t>
            </w:r>
            <w:r w:rsidRPr="00F02FD6">
              <w:rPr>
                <w:rFonts w:ascii="Calibri" w:hAnsi="Calibri" w:cs="Calibri"/>
                <w:b/>
                <w:color w:val="000000"/>
              </w:rPr>
              <w:t>konstantem</w:t>
            </w:r>
            <w:r>
              <w:rPr>
                <w:rFonts w:ascii="Calibri" w:hAnsi="Calibri" w:cs="Calibri"/>
                <w:color w:val="000000"/>
              </w:rPr>
              <w:t xml:space="preserve"> </w:t>
            </w:r>
            <w:r w:rsidRPr="00F02FD6">
              <w:rPr>
                <w:rFonts w:ascii="Calibri" w:hAnsi="Calibri" w:cs="Calibri"/>
                <w:b/>
                <w:color w:val="000000"/>
              </w:rPr>
              <w:t>Austausch</w:t>
            </w:r>
            <w:r>
              <w:rPr>
                <w:rFonts w:ascii="Calibri" w:hAnsi="Calibri" w:cs="Calibri"/>
                <w:color w:val="000000"/>
              </w:rPr>
              <w:t xml:space="preserve"> mit der Elternschaft, der Schülerschaft und externen Partnern.</w:t>
            </w:r>
          </w:p>
        </w:tc>
        <w:tc>
          <w:tcPr>
            <w:tcW w:w="2753" w:type="pct"/>
          </w:tcPr>
          <w:p w14:paraId="13EBC662" w14:textId="69D3673E" w:rsidR="00F008BE" w:rsidRDefault="00F008BE" w:rsidP="00584626">
            <w:pPr>
              <w:spacing w:line="276" w:lineRule="auto"/>
              <w:jc w:val="both"/>
              <w:rPr>
                <w:rFonts w:ascii="Calibri" w:hAnsi="Calibri" w:cs="Calibri"/>
                <w:color w:val="000000"/>
              </w:rPr>
            </w:pPr>
            <w:r>
              <w:rPr>
                <w:rFonts w:ascii="Calibri" w:hAnsi="Calibri" w:cs="Calibri"/>
                <w:color w:val="000000"/>
              </w:rPr>
              <w:t>Zweimal im Jahr findet ein öffentlicher runder Tisch mit allen Beteiligten statt</w:t>
            </w:r>
            <w:r w:rsidR="00F278DC">
              <w:rPr>
                <w:rFonts w:ascii="Calibri" w:hAnsi="Calibri" w:cs="Calibri"/>
                <w:color w:val="000000"/>
              </w:rPr>
              <w:t>. Ein Protokoll wird Interessierten zur Verfügung gestellt.</w:t>
            </w:r>
          </w:p>
        </w:tc>
      </w:tr>
    </w:tbl>
    <w:p w14:paraId="79B46891" w14:textId="77777777" w:rsidR="00DA789C" w:rsidRDefault="00DA789C" w:rsidP="00584626">
      <w:pPr>
        <w:spacing w:line="276" w:lineRule="auto"/>
        <w:jc w:val="both"/>
      </w:pPr>
    </w:p>
    <w:sectPr w:rsidR="00DA789C" w:rsidSect="00353077">
      <w:footerReference w:type="default" r:id="rId12"/>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BD5D" w14:textId="77777777" w:rsidR="00B43AE8" w:rsidRDefault="00B43AE8" w:rsidP="00353077">
      <w:pPr>
        <w:spacing w:after="0" w:line="240" w:lineRule="auto"/>
      </w:pPr>
      <w:r>
        <w:separator/>
      </w:r>
    </w:p>
  </w:endnote>
  <w:endnote w:type="continuationSeparator" w:id="0">
    <w:p w14:paraId="7CFD0E6C" w14:textId="77777777" w:rsidR="00B43AE8" w:rsidRDefault="00B43AE8" w:rsidP="0035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853901"/>
      <w:docPartObj>
        <w:docPartGallery w:val="Page Numbers (Bottom of Page)"/>
        <w:docPartUnique/>
      </w:docPartObj>
    </w:sdtPr>
    <w:sdtEndPr/>
    <w:sdtContent>
      <w:p w14:paraId="716AF585" w14:textId="7B087350" w:rsidR="00353077" w:rsidRDefault="00353077">
        <w:pPr>
          <w:pStyle w:val="Fuzeile"/>
          <w:jc w:val="center"/>
        </w:pPr>
        <w:r>
          <w:fldChar w:fldCharType="begin"/>
        </w:r>
        <w:r>
          <w:instrText>PAGE   \* MERGEFORMAT</w:instrText>
        </w:r>
        <w:r>
          <w:fldChar w:fldCharType="separate"/>
        </w:r>
        <w:r>
          <w:rPr>
            <w:noProof/>
          </w:rPr>
          <w:t>4</w:t>
        </w:r>
        <w:r>
          <w:fldChar w:fldCharType="end"/>
        </w:r>
      </w:p>
    </w:sdtContent>
  </w:sdt>
  <w:p w14:paraId="39E088A0" w14:textId="77777777" w:rsidR="00353077" w:rsidRDefault="003530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89EB" w14:textId="77777777" w:rsidR="00B43AE8" w:rsidRDefault="00B43AE8" w:rsidP="00353077">
      <w:pPr>
        <w:spacing w:after="0" w:line="240" w:lineRule="auto"/>
      </w:pPr>
      <w:r>
        <w:separator/>
      </w:r>
    </w:p>
  </w:footnote>
  <w:footnote w:type="continuationSeparator" w:id="0">
    <w:p w14:paraId="445F4CFF" w14:textId="77777777" w:rsidR="00B43AE8" w:rsidRDefault="00B43AE8" w:rsidP="00353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880"/>
    <w:multiLevelType w:val="hybridMultilevel"/>
    <w:tmpl w:val="8EB63ED0"/>
    <w:lvl w:ilvl="0" w:tplc="E936674E">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6"/>
    <w:rsid w:val="00007F7E"/>
    <w:rsid w:val="00011A32"/>
    <w:rsid w:val="000356FF"/>
    <w:rsid w:val="000B4F8B"/>
    <w:rsid w:val="000C0BD1"/>
    <w:rsid w:val="000E2910"/>
    <w:rsid w:val="000E35CE"/>
    <w:rsid w:val="000E7E16"/>
    <w:rsid w:val="00180961"/>
    <w:rsid w:val="00194CDC"/>
    <w:rsid w:val="00197534"/>
    <w:rsid w:val="001C2686"/>
    <w:rsid w:val="00226527"/>
    <w:rsid w:val="00226791"/>
    <w:rsid w:val="00277897"/>
    <w:rsid w:val="00293B86"/>
    <w:rsid w:val="002D1DE0"/>
    <w:rsid w:val="002F5061"/>
    <w:rsid w:val="003122CD"/>
    <w:rsid w:val="00321E27"/>
    <w:rsid w:val="003308C2"/>
    <w:rsid w:val="0033201E"/>
    <w:rsid w:val="00334EB7"/>
    <w:rsid w:val="00347623"/>
    <w:rsid w:val="00353077"/>
    <w:rsid w:val="003601D7"/>
    <w:rsid w:val="003B2EEB"/>
    <w:rsid w:val="003D0AE2"/>
    <w:rsid w:val="003D28EF"/>
    <w:rsid w:val="0040541B"/>
    <w:rsid w:val="004146C5"/>
    <w:rsid w:val="00453435"/>
    <w:rsid w:val="00471A4E"/>
    <w:rsid w:val="00480E04"/>
    <w:rsid w:val="004F3073"/>
    <w:rsid w:val="004F3A48"/>
    <w:rsid w:val="00540673"/>
    <w:rsid w:val="0054114F"/>
    <w:rsid w:val="00541C7D"/>
    <w:rsid w:val="00541CE3"/>
    <w:rsid w:val="00584626"/>
    <w:rsid w:val="005B1166"/>
    <w:rsid w:val="005D1A8E"/>
    <w:rsid w:val="005E52F1"/>
    <w:rsid w:val="005F5354"/>
    <w:rsid w:val="00606625"/>
    <w:rsid w:val="00612DCD"/>
    <w:rsid w:val="00615A37"/>
    <w:rsid w:val="006631EB"/>
    <w:rsid w:val="00667DA6"/>
    <w:rsid w:val="006A1919"/>
    <w:rsid w:val="006B0A22"/>
    <w:rsid w:val="006B3473"/>
    <w:rsid w:val="006D6D70"/>
    <w:rsid w:val="006E12A3"/>
    <w:rsid w:val="007C4648"/>
    <w:rsid w:val="007E354F"/>
    <w:rsid w:val="007F69EC"/>
    <w:rsid w:val="008111D7"/>
    <w:rsid w:val="00830107"/>
    <w:rsid w:val="00851BB8"/>
    <w:rsid w:val="00886327"/>
    <w:rsid w:val="00890286"/>
    <w:rsid w:val="0089392B"/>
    <w:rsid w:val="008D36BA"/>
    <w:rsid w:val="008D4722"/>
    <w:rsid w:val="00903D43"/>
    <w:rsid w:val="00922EAC"/>
    <w:rsid w:val="00942C7C"/>
    <w:rsid w:val="0097558E"/>
    <w:rsid w:val="00A01F46"/>
    <w:rsid w:val="00A14601"/>
    <w:rsid w:val="00A51E27"/>
    <w:rsid w:val="00A64241"/>
    <w:rsid w:val="00A77F57"/>
    <w:rsid w:val="00AA186A"/>
    <w:rsid w:val="00AC778B"/>
    <w:rsid w:val="00AD6E10"/>
    <w:rsid w:val="00AE3624"/>
    <w:rsid w:val="00B02E29"/>
    <w:rsid w:val="00B340B2"/>
    <w:rsid w:val="00B402A1"/>
    <w:rsid w:val="00B43AE8"/>
    <w:rsid w:val="00BA361D"/>
    <w:rsid w:val="00BB60FB"/>
    <w:rsid w:val="00C343FC"/>
    <w:rsid w:val="00C42937"/>
    <w:rsid w:val="00C43FA8"/>
    <w:rsid w:val="00C73C5D"/>
    <w:rsid w:val="00CA245E"/>
    <w:rsid w:val="00CE42BA"/>
    <w:rsid w:val="00D97B9A"/>
    <w:rsid w:val="00DA50DB"/>
    <w:rsid w:val="00DA789C"/>
    <w:rsid w:val="00E45520"/>
    <w:rsid w:val="00E56A27"/>
    <w:rsid w:val="00E741D0"/>
    <w:rsid w:val="00EF4675"/>
    <w:rsid w:val="00F008BE"/>
    <w:rsid w:val="00F02FD6"/>
    <w:rsid w:val="00F230C9"/>
    <w:rsid w:val="00F278DC"/>
    <w:rsid w:val="00F5184F"/>
    <w:rsid w:val="00F56D93"/>
    <w:rsid w:val="00F877E3"/>
    <w:rsid w:val="00FC2F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1"/>
  <w15:chartTrackingRefBased/>
  <w15:docId w15:val="{035FD8DC-2F55-4952-9362-B0758873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02E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02E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265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6527"/>
    <w:rPr>
      <w:rFonts w:ascii="Segoe UI" w:hAnsi="Segoe UI" w:cs="Segoe UI"/>
      <w:sz w:val="18"/>
      <w:szCs w:val="18"/>
    </w:rPr>
  </w:style>
  <w:style w:type="table" w:styleId="Tabellenraster">
    <w:name w:val="Table Grid"/>
    <w:basedOn w:val="NormaleTabelle"/>
    <w:uiPriority w:val="39"/>
    <w:rsid w:val="002D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B02E29"/>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B02E2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D0AE2"/>
    <w:pPr>
      <w:ind w:left="720"/>
      <w:contextualSpacing/>
    </w:pPr>
  </w:style>
  <w:style w:type="paragraph" w:styleId="Kopfzeile">
    <w:name w:val="header"/>
    <w:basedOn w:val="Standard"/>
    <w:link w:val="KopfzeileZchn"/>
    <w:uiPriority w:val="99"/>
    <w:unhideWhenUsed/>
    <w:rsid w:val="003530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3077"/>
  </w:style>
  <w:style w:type="paragraph" w:styleId="Fuzeile">
    <w:name w:val="footer"/>
    <w:basedOn w:val="Standard"/>
    <w:link w:val="FuzeileZchn"/>
    <w:uiPriority w:val="99"/>
    <w:unhideWhenUsed/>
    <w:rsid w:val="003530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3077"/>
  </w:style>
  <w:style w:type="character" w:styleId="Hyperlink">
    <w:name w:val="Hyperlink"/>
    <w:basedOn w:val="Absatz-Standardschriftart"/>
    <w:uiPriority w:val="99"/>
    <w:unhideWhenUsed/>
    <w:rsid w:val="00F02FD6"/>
    <w:rPr>
      <w:color w:val="0563C1" w:themeColor="hyperlink"/>
      <w:u w:val="single"/>
    </w:rPr>
  </w:style>
  <w:style w:type="character" w:styleId="NichtaufgelsteErwhnung">
    <w:name w:val="Unresolved Mention"/>
    <w:basedOn w:val="Absatz-Standardschriftart"/>
    <w:uiPriority w:val="99"/>
    <w:semiHidden/>
    <w:unhideWhenUsed/>
    <w:rsid w:val="00F02F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7022">
      <w:bodyDiv w:val="1"/>
      <w:marLeft w:val="0"/>
      <w:marRight w:val="0"/>
      <w:marTop w:val="0"/>
      <w:marBottom w:val="0"/>
      <w:divBdr>
        <w:top w:val="none" w:sz="0" w:space="0" w:color="auto"/>
        <w:left w:val="none" w:sz="0" w:space="0" w:color="auto"/>
        <w:bottom w:val="none" w:sz="0" w:space="0" w:color="auto"/>
        <w:right w:val="none" w:sz="0" w:space="0" w:color="auto"/>
      </w:divBdr>
    </w:div>
    <w:div w:id="280381490">
      <w:bodyDiv w:val="1"/>
      <w:marLeft w:val="0"/>
      <w:marRight w:val="0"/>
      <w:marTop w:val="0"/>
      <w:marBottom w:val="0"/>
      <w:divBdr>
        <w:top w:val="none" w:sz="0" w:space="0" w:color="auto"/>
        <w:left w:val="none" w:sz="0" w:space="0" w:color="auto"/>
        <w:bottom w:val="none" w:sz="0" w:space="0" w:color="auto"/>
        <w:right w:val="none" w:sz="0" w:space="0" w:color="auto"/>
      </w:divBdr>
    </w:div>
    <w:div w:id="749277957">
      <w:bodyDiv w:val="1"/>
      <w:marLeft w:val="0"/>
      <w:marRight w:val="0"/>
      <w:marTop w:val="0"/>
      <w:marBottom w:val="0"/>
      <w:divBdr>
        <w:top w:val="none" w:sz="0" w:space="0" w:color="auto"/>
        <w:left w:val="none" w:sz="0" w:space="0" w:color="auto"/>
        <w:bottom w:val="none" w:sz="0" w:space="0" w:color="auto"/>
        <w:right w:val="none" w:sz="0" w:space="0" w:color="auto"/>
      </w:divBdr>
    </w:div>
    <w:div w:id="865751631">
      <w:bodyDiv w:val="1"/>
      <w:marLeft w:val="0"/>
      <w:marRight w:val="0"/>
      <w:marTop w:val="0"/>
      <w:marBottom w:val="0"/>
      <w:divBdr>
        <w:top w:val="none" w:sz="0" w:space="0" w:color="auto"/>
        <w:left w:val="none" w:sz="0" w:space="0" w:color="auto"/>
        <w:bottom w:val="none" w:sz="0" w:space="0" w:color="auto"/>
        <w:right w:val="none" w:sz="0" w:space="0" w:color="auto"/>
      </w:divBdr>
    </w:div>
    <w:div w:id="884411047">
      <w:bodyDiv w:val="1"/>
      <w:marLeft w:val="0"/>
      <w:marRight w:val="0"/>
      <w:marTop w:val="0"/>
      <w:marBottom w:val="0"/>
      <w:divBdr>
        <w:top w:val="none" w:sz="0" w:space="0" w:color="auto"/>
        <w:left w:val="none" w:sz="0" w:space="0" w:color="auto"/>
        <w:bottom w:val="none" w:sz="0" w:space="0" w:color="auto"/>
        <w:right w:val="none" w:sz="0" w:space="0" w:color="auto"/>
      </w:divBdr>
    </w:div>
    <w:div w:id="1174951402">
      <w:bodyDiv w:val="1"/>
      <w:marLeft w:val="0"/>
      <w:marRight w:val="0"/>
      <w:marTop w:val="0"/>
      <w:marBottom w:val="0"/>
      <w:divBdr>
        <w:top w:val="none" w:sz="0" w:space="0" w:color="auto"/>
        <w:left w:val="none" w:sz="0" w:space="0" w:color="auto"/>
        <w:bottom w:val="none" w:sz="0" w:space="0" w:color="auto"/>
        <w:right w:val="none" w:sz="0" w:space="0" w:color="auto"/>
      </w:divBdr>
    </w:div>
    <w:div w:id="1414550647">
      <w:bodyDiv w:val="1"/>
      <w:marLeft w:val="0"/>
      <w:marRight w:val="0"/>
      <w:marTop w:val="0"/>
      <w:marBottom w:val="0"/>
      <w:divBdr>
        <w:top w:val="none" w:sz="0" w:space="0" w:color="auto"/>
        <w:left w:val="none" w:sz="0" w:space="0" w:color="auto"/>
        <w:bottom w:val="none" w:sz="0" w:space="0" w:color="auto"/>
        <w:right w:val="none" w:sz="0" w:space="0" w:color="auto"/>
      </w:divBdr>
    </w:div>
    <w:div w:id="1447650704">
      <w:bodyDiv w:val="1"/>
      <w:marLeft w:val="0"/>
      <w:marRight w:val="0"/>
      <w:marTop w:val="0"/>
      <w:marBottom w:val="0"/>
      <w:divBdr>
        <w:top w:val="none" w:sz="0" w:space="0" w:color="auto"/>
        <w:left w:val="none" w:sz="0" w:space="0" w:color="auto"/>
        <w:bottom w:val="none" w:sz="0" w:space="0" w:color="auto"/>
        <w:right w:val="none" w:sz="0" w:space="0" w:color="auto"/>
      </w:divBdr>
    </w:div>
    <w:div w:id="1655378899">
      <w:bodyDiv w:val="1"/>
      <w:marLeft w:val="0"/>
      <w:marRight w:val="0"/>
      <w:marTop w:val="0"/>
      <w:marBottom w:val="0"/>
      <w:divBdr>
        <w:top w:val="none" w:sz="0" w:space="0" w:color="auto"/>
        <w:left w:val="none" w:sz="0" w:space="0" w:color="auto"/>
        <w:bottom w:val="none" w:sz="0" w:space="0" w:color="auto"/>
        <w:right w:val="none" w:sz="0" w:space="0" w:color="auto"/>
      </w:divBdr>
    </w:div>
    <w:div w:id="1688365980">
      <w:bodyDiv w:val="1"/>
      <w:marLeft w:val="0"/>
      <w:marRight w:val="0"/>
      <w:marTop w:val="0"/>
      <w:marBottom w:val="0"/>
      <w:divBdr>
        <w:top w:val="none" w:sz="0" w:space="0" w:color="auto"/>
        <w:left w:val="none" w:sz="0" w:space="0" w:color="auto"/>
        <w:bottom w:val="none" w:sz="0" w:space="0" w:color="auto"/>
        <w:right w:val="none" w:sz="0" w:space="0" w:color="auto"/>
      </w:divBdr>
    </w:div>
    <w:div w:id="179150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rg@lmz-bw.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4E6F2627420449B2DC04E9AF56107F" ma:contentTypeVersion="9" ma:contentTypeDescription="Ein neues Dokument erstellen." ma:contentTypeScope="" ma:versionID="98f7e07ed5634966b648b2f094270416">
  <xsd:schema xmlns:xsd="http://www.w3.org/2001/XMLSchema" xmlns:xs="http://www.w3.org/2001/XMLSchema" xmlns:p="http://schemas.microsoft.com/office/2006/metadata/properties" xmlns:ns2="475d2e77-2fba-4a2f-8429-dfeb6052d843" xmlns:ns3="88c5ca54-2d57-4c6b-888a-6eae1f96bcae" targetNamespace="http://schemas.microsoft.com/office/2006/metadata/properties" ma:root="true" ma:fieldsID="f8d633e5b017231abda8eb1915e1e9bd" ns2:_="" ns3:_="">
    <xsd:import namespace="475d2e77-2fba-4a2f-8429-dfeb6052d843"/>
    <xsd:import namespace="88c5ca54-2d57-4c6b-888a-6eae1f96b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d2e77-2fba-4a2f-8429-dfeb6052d8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c5ca54-2d57-4c6b-888a-6eae1f96bca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CA84-DE89-46DD-A33A-A33AB1AA215B}">
  <ds:schemaRefs>
    <ds:schemaRef ds:uri="http://schemas.microsoft.com/sharepoint/v3/contenttype/forms"/>
  </ds:schemaRefs>
</ds:datastoreItem>
</file>

<file path=customXml/itemProps2.xml><?xml version="1.0" encoding="utf-8"?>
<ds:datastoreItem xmlns:ds="http://schemas.openxmlformats.org/officeDocument/2006/customXml" ds:itemID="{BAB86949-509D-4422-B0EE-B14145B91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d2e77-2fba-4a2f-8429-dfeb6052d843"/>
    <ds:schemaRef ds:uri="88c5ca54-2d57-4c6b-888a-6eae1f96b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2A84E-A5B3-46BC-9A4E-4825DB9A71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7F664B-B70B-3741-80A1-CDA00570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1790</Words>
  <Characters>11278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Torsten Traub</dc:creator>
  <cp:keywords/>
  <dc:description/>
  <cp:lastModifiedBy>Fabian Karg</cp:lastModifiedBy>
  <cp:revision>50</cp:revision>
  <cp:lastPrinted>2019-10-17T08:41:00Z</cp:lastPrinted>
  <dcterms:created xsi:type="dcterms:W3CDTF">2019-10-10T14:10:00Z</dcterms:created>
  <dcterms:modified xsi:type="dcterms:W3CDTF">2019-11-10T19:33:00Z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0x010100064E6F2627420449B2DC04E9AF56107F</vt:lpwstr>
  </property>
</Properties>
</file>